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0365">
      <w:pPr>
        <w:spacing w:before="1600"/>
        <w:jc w:val="center"/>
      </w:pPr>
      <w:bookmarkStart w:id="0" w:name="_GoBack"/>
      <w:bookmarkEnd w:id="0"/>
      <w:r>
        <w:rPr>
          <w:rFonts w:ascii="Noto Sans" w:hAnsi="Noto Sans" w:eastAsia="Noto Sans CJK SC"/>
          <w:b/>
          <w:color w:val="1F4E79"/>
          <w:sz w:val="48"/>
        </w:rPr>
        <w:t>两篇重点论文精读报告</w:t>
      </w:r>
    </w:p>
    <w:p w14:paraId="7B534753">
      <w:pPr>
        <w:jc w:val="center"/>
      </w:pPr>
      <w:r>
        <w:rPr>
          <w:rFonts w:ascii="Noto Sans" w:hAnsi="Noto Sans" w:eastAsia="Noto Sans CJK SC"/>
          <w:b/>
          <w:color w:val="333333"/>
          <w:sz w:val="28"/>
        </w:rPr>
        <w:t>Attention Residuals 与 Vision Transformers Need More Than Registers</w:t>
      </w:r>
    </w:p>
    <w:p w14:paraId="2B7D607E"/>
    <w:p w14:paraId="62587F61">
      <w:pPr>
        <w:spacing w:after="120"/>
        <w:ind w:left="170" w:right="170"/>
      </w:pPr>
      <w:r>
        <w:rPr>
          <w:rFonts w:ascii="Noto Sans" w:hAnsi="Noto Sans" w:eastAsia="Noto Sans CJK SC"/>
          <w:color w:val="555555"/>
          <w:sz w:val="18"/>
        </w:rPr>
        <w:t>输出结构：每篇论文均包含研究现状、核心问题、提出的新方法、实验结果、创新价值、不足与可拓展方向。</w:t>
      </w:r>
    </w:p>
    <w:p w14:paraId="10230F4F">
      <w:pPr>
        <w:spacing w:after="120"/>
        <w:ind w:left="170" w:right="170"/>
      </w:pPr>
      <w:r>
        <w:rPr>
          <w:rFonts w:ascii="Noto Sans" w:hAnsi="Noto Sans" w:eastAsia="Noto Sans CJK SC"/>
          <w:color w:val="555555"/>
          <w:sz w:val="18"/>
        </w:rPr>
        <w:t>阅读重点：两篇论文虽然分别面向语言模型深度残差流与视觉 Transformer 的 CLS/patch 聚合，但本质都在讨论“无差别聚合”带来的信息稀释或背景捷径，并通过“选择性聚合”进行修正。</w:t>
      </w:r>
    </w:p>
    <w:p w14:paraId="710C55E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948"/>
        <w:gridCol w:w="2381"/>
        <w:gridCol w:w="3118"/>
      </w:tblGrid>
      <w:tr w14:paraId="6199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  <w:shd w:val="clear" w:color="auto" w:fill="2F5597"/>
            <w:vAlign w:val="center"/>
          </w:tcPr>
          <w:p w14:paraId="0321680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w="2948" w:type="dxa"/>
            <w:shd w:val="clear" w:color="auto" w:fill="2F5597"/>
            <w:vAlign w:val="center"/>
          </w:tcPr>
          <w:p w14:paraId="5BDD928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论文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59FBFA0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作者/团队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260B269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重点主题</w:t>
            </w:r>
          </w:p>
        </w:tc>
      </w:tr>
      <w:tr w14:paraId="7AA2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top"/>
          </w:tcPr>
          <w:p w14:paraId="6EC1012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</w:t>
            </w:r>
          </w:p>
        </w:tc>
        <w:tc>
          <w:tcPr>
            <w:tcW w:w="2948" w:type="dxa"/>
            <w:vAlign w:val="top"/>
          </w:tcPr>
          <w:p w14:paraId="1676E77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Attention Residuals</w:t>
            </w:r>
          </w:p>
        </w:tc>
        <w:tc>
          <w:tcPr>
            <w:tcW w:w="2381" w:type="dxa"/>
            <w:vAlign w:val="top"/>
          </w:tcPr>
          <w:p w14:paraId="4F63175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Kimi Team</w:t>
            </w:r>
          </w:p>
        </w:tc>
        <w:tc>
          <w:tcPr>
            <w:tcW w:w="3118" w:type="dxa"/>
            <w:vAlign w:val="top"/>
          </w:tcPr>
          <w:p w14:paraId="4D59AF6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LLM/Transformer 深度维度的信息聚合与残差连接</w:t>
            </w:r>
          </w:p>
        </w:tc>
      </w:tr>
      <w:tr w14:paraId="24C1F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top"/>
          </w:tcPr>
          <w:p w14:paraId="46EA7C0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</w:t>
            </w:r>
          </w:p>
        </w:tc>
        <w:tc>
          <w:tcPr>
            <w:tcW w:w="2948" w:type="dxa"/>
            <w:vAlign w:val="top"/>
          </w:tcPr>
          <w:p w14:paraId="36FB69C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Vision Transformers Need More Than Registers</w:t>
            </w:r>
          </w:p>
        </w:tc>
        <w:tc>
          <w:tcPr>
            <w:tcW w:w="2381" w:type="dxa"/>
            <w:vAlign w:val="top"/>
          </w:tcPr>
          <w:p w14:paraId="6272F17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Cheng Shi, Yizhou Yu, Sibei Yang</w:t>
            </w:r>
          </w:p>
        </w:tc>
        <w:tc>
          <w:tcPr>
            <w:tcW w:w="3118" w:type="dxa"/>
            <w:vAlign w:val="top"/>
          </w:tcPr>
          <w:p w14:paraId="6A6E14F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 中 patch/CLS 聚合导致的背景伪语义与密集特征伪影</w:t>
            </w:r>
          </w:p>
        </w:tc>
      </w:tr>
    </w:tbl>
    <w:p w14:paraId="74B5D397"/>
    <w:p w14:paraId="2A4168B5">
      <w:r>
        <w:br w:type="page"/>
      </w:r>
    </w:p>
    <w:p w14:paraId="6A5E51E3">
      <w:pPr>
        <w:pStyle w:val="3"/>
      </w:pPr>
      <w:r>
        <w:rPr>
          <w:rFonts w:ascii="Noto Sans" w:hAnsi="Noto Sans" w:eastAsia="Noto Sans CJK SC"/>
          <w:b/>
        </w:rPr>
        <w:t>目录</w:t>
      </w:r>
    </w:p>
    <w:p w14:paraId="3C30C089">
      <w:r>
        <w:rPr>
          <w:rFonts w:ascii="Noto Sans" w:hAnsi="Noto Sans" w:eastAsia="Noto Sans CJK SC"/>
        </w:rPr>
        <w:t>一、两篇论文的共同主线与速读结论</w:t>
      </w:r>
    </w:p>
    <w:p w14:paraId="3053FD54">
      <w:r>
        <w:rPr>
          <w:rFonts w:ascii="Noto Sans" w:hAnsi="Noto Sans" w:eastAsia="Noto Sans CJK SC"/>
        </w:rPr>
        <w:t>二、论文一：Attention Residuals</w:t>
      </w:r>
    </w:p>
    <w:p w14:paraId="07806CD2">
      <w:r>
        <w:rPr>
          <w:rFonts w:ascii="Noto Sans" w:hAnsi="Noto Sans" w:eastAsia="Noto Sans CJK SC"/>
        </w:rPr>
        <w:t xml:space="preserve">   2.1 研究现状与痛点</w:t>
      </w:r>
    </w:p>
    <w:p w14:paraId="38437BAB">
      <w:r>
        <w:rPr>
          <w:rFonts w:ascii="Noto Sans" w:hAnsi="Noto Sans" w:eastAsia="Noto Sans CJK SC"/>
        </w:rPr>
        <w:t xml:space="preserve">   2.2 提出的新方法</w:t>
      </w:r>
    </w:p>
    <w:p w14:paraId="7F3D5319">
      <w:r>
        <w:rPr>
          <w:rFonts w:ascii="Noto Sans" w:hAnsi="Noto Sans" w:eastAsia="Noto Sans CJK SC"/>
        </w:rPr>
        <w:t xml:space="preserve">   2.3 实验结果与关键证据</w:t>
      </w:r>
    </w:p>
    <w:p w14:paraId="06CEFF19">
      <w:r>
        <w:rPr>
          <w:rFonts w:ascii="Noto Sans" w:hAnsi="Noto Sans" w:eastAsia="Noto Sans CJK SC"/>
        </w:rPr>
        <w:t xml:space="preserve">   2.4 不足与局限</w:t>
      </w:r>
    </w:p>
    <w:p w14:paraId="4657380D">
      <w:r>
        <w:rPr>
          <w:rFonts w:ascii="Noto Sans" w:hAnsi="Noto Sans" w:eastAsia="Noto Sans CJK SC"/>
        </w:rPr>
        <w:t xml:space="preserve">   2.5 可借鉴点与后续方向</w:t>
      </w:r>
    </w:p>
    <w:p w14:paraId="0299C31C">
      <w:r>
        <w:rPr>
          <w:rFonts w:ascii="Noto Sans" w:hAnsi="Noto Sans" w:eastAsia="Noto Sans CJK SC"/>
        </w:rPr>
        <w:t>三、论文二：Vision Transformers Need More Than Registers</w:t>
      </w:r>
    </w:p>
    <w:p w14:paraId="7DD8B6EA">
      <w:r>
        <w:rPr>
          <w:rFonts w:ascii="Noto Sans" w:hAnsi="Noto Sans" w:eastAsia="Noto Sans CJK SC"/>
        </w:rPr>
        <w:t xml:space="preserve">   3.1 研究现状与痛点</w:t>
      </w:r>
    </w:p>
    <w:p w14:paraId="762F0028">
      <w:r>
        <w:rPr>
          <w:rFonts w:ascii="Noto Sans" w:hAnsi="Noto Sans" w:eastAsia="Noto Sans CJK SC"/>
        </w:rPr>
        <w:t xml:space="preserve">   3.2 提出的新方法</w:t>
      </w:r>
    </w:p>
    <w:p w14:paraId="4C793B3B">
      <w:r>
        <w:rPr>
          <w:rFonts w:ascii="Noto Sans" w:hAnsi="Noto Sans" w:eastAsia="Noto Sans CJK SC"/>
        </w:rPr>
        <w:t xml:space="preserve">   3.3 实验结果与关键证据</w:t>
      </w:r>
    </w:p>
    <w:p w14:paraId="51F54D3E">
      <w:r>
        <w:rPr>
          <w:rFonts w:ascii="Noto Sans" w:hAnsi="Noto Sans" w:eastAsia="Noto Sans CJK SC"/>
        </w:rPr>
        <w:t xml:space="preserve">   3.4 不足与局限</w:t>
      </w:r>
    </w:p>
    <w:p w14:paraId="48BD421C">
      <w:r>
        <w:rPr>
          <w:rFonts w:ascii="Noto Sans" w:hAnsi="Noto Sans" w:eastAsia="Noto Sans CJK SC"/>
        </w:rPr>
        <w:t xml:space="preserve">   3.5 可借鉴点与后续方向</w:t>
      </w:r>
    </w:p>
    <w:p w14:paraId="5217AAD3">
      <w:r>
        <w:rPr>
          <w:rFonts w:ascii="Noto Sans" w:hAnsi="Noto Sans" w:eastAsia="Noto Sans CJK SC"/>
        </w:rPr>
        <w:t>四、两篇论文对比与汇报建议</w:t>
      </w:r>
    </w:p>
    <w:p w14:paraId="53ACCBFF">
      <w:r>
        <w:br w:type="page"/>
      </w:r>
    </w:p>
    <w:p w14:paraId="0443BB47">
      <w:pPr>
        <w:pStyle w:val="3"/>
      </w:pPr>
      <w:r>
        <w:rPr>
          <w:rFonts w:ascii="Noto Sans" w:hAnsi="Noto Sans" w:eastAsia="Noto Sans CJK SC"/>
          <w:b/>
        </w:rPr>
        <w:t>一、两篇论文的共同主线与速读结论</w:t>
      </w:r>
    </w:p>
    <w:p w14:paraId="7EF338D4">
      <w:r>
        <w:rPr>
          <w:rFonts w:ascii="Noto Sans" w:hAnsi="Noto Sans" w:eastAsia="Noto Sans CJK SC"/>
        </w:rPr>
        <w:t>这两篇论文值得单独拿出来读，是因为它们都不是只追求某个基准上的小幅提升，而是在重新审视 Transformer 结构中一个更底层的问题：信息到底应该如何聚合。</w:t>
      </w:r>
    </w:p>
    <w:p w14:paraId="75858FB2">
      <w:pPr>
        <w:pStyle w:val="16"/>
        <w:spacing w:after="40"/>
      </w:pPr>
      <w:r>
        <w:rPr>
          <w:rFonts w:ascii="Noto Sans" w:hAnsi="Noto Sans" w:eastAsia="Noto Sans CJK SC"/>
          <w:sz w:val="20"/>
        </w:rPr>
        <w:t>Attention Residuals 关注“深度维度”：标准残差把所有层输出用固定权重一路累加，导致深层隐藏状态幅度增长、早期层贡献被稀释。论文用 depth-wise attention 取代固定相加。</w:t>
      </w:r>
    </w:p>
    <w:p w14:paraId="1FEDC45E">
      <w:pPr>
        <w:pStyle w:val="16"/>
        <w:spacing w:after="40"/>
      </w:pPr>
      <w:r>
        <w:rPr>
          <w:rFonts w:ascii="Noto Sans" w:hAnsi="Noto Sans" w:eastAsia="Noto Sans CJK SC"/>
          <w:sz w:val="20"/>
        </w:rPr>
        <w:t>Vision Transformers Need More Than Registers 关注“空间 token 维度”：ViT 的 CLS token 在图像级监督下容易把背景 patch 当作全局语义捷径，导致 dense feature artifacts。论文用频率引导的选择性聚合，让 CLS 更集中到前景 token。</w:t>
      </w:r>
    </w:p>
    <w:p w14:paraId="25C3C9E1">
      <w:pPr>
        <w:pStyle w:val="16"/>
        <w:spacing w:after="40"/>
      </w:pPr>
      <w:r>
        <w:rPr>
          <w:rFonts w:ascii="Noto Sans" w:hAnsi="Noto Sans" w:eastAsia="Noto Sans CJK SC"/>
          <w:sz w:val="20"/>
        </w:rPr>
        <w:t>共同思想：固定/懒惰/无差别聚合 → 信息稀释或错误捷径；选择性/内容相关聚合 → 更稳定的信息流和更可靠的下游表征。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572"/>
      </w:tblGrid>
      <w:tr w14:paraId="1F73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073BBEC9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w="3572" w:type="dxa"/>
            <w:shd w:val="clear" w:color="auto" w:fill="2F5597"/>
            <w:vAlign w:val="center"/>
          </w:tcPr>
          <w:p w14:paraId="6FB9146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Attention Residuals</w:t>
            </w:r>
          </w:p>
        </w:tc>
        <w:tc>
          <w:tcPr>
            <w:tcW w:w="3572" w:type="dxa"/>
            <w:shd w:val="clear" w:color="auto" w:fill="2F5597"/>
            <w:vAlign w:val="center"/>
          </w:tcPr>
          <w:p w14:paraId="1BD0956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Vision Transformers Need More Than Registers</w:t>
            </w:r>
          </w:p>
        </w:tc>
      </w:tr>
      <w:tr w14:paraId="6C77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269DA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核心对象</w:t>
            </w:r>
          </w:p>
        </w:tc>
        <w:tc>
          <w:tcPr>
            <w:tcW w:w="3572" w:type="dxa"/>
            <w:vAlign w:val="top"/>
          </w:tcPr>
          <w:p w14:paraId="1724217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残差流中的历史层输出</w:t>
            </w:r>
          </w:p>
        </w:tc>
        <w:tc>
          <w:tcPr>
            <w:tcW w:w="3572" w:type="dxa"/>
            <w:vAlign w:val="top"/>
          </w:tcPr>
          <w:p w14:paraId="12B8C61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图像中的 patch token 与 CLS token</w:t>
            </w:r>
          </w:p>
        </w:tc>
      </w:tr>
      <w:tr w14:paraId="295D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78481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原有问题</w:t>
            </w:r>
          </w:p>
        </w:tc>
        <w:tc>
          <w:tcPr>
            <w:tcW w:w="3572" w:type="dxa"/>
            <w:vAlign w:val="top"/>
          </w:tcPr>
          <w:p w14:paraId="6853499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所有层输出被单位权重累加，深度越深越容易 PreNorm dilution</w:t>
            </w:r>
          </w:p>
        </w:tc>
        <w:tc>
          <w:tcPr>
            <w:tcW w:w="3572" w:type="dxa"/>
            <w:vAlign w:val="top"/>
          </w:tcPr>
          <w:p w14:paraId="61BC7FC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背景 patch 数量多且可被全局注意力传播语义，产生 lazy aggregation</w:t>
            </w:r>
          </w:p>
        </w:tc>
      </w:tr>
      <w:tr w14:paraId="0CDD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E655BD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诊断方式</w:t>
            </w:r>
          </w:p>
        </w:tc>
        <w:tc>
          <w:tcPr>
            <w:tcW w:w="3572" w:type="dxa"/>
            <w:vAlign w:val="top"/>
          </w:tcPr>
          <w:p w14:paraId="74DF33A9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输出幅度、梯度分布、scaling law、下游 reasoning benchmark</w:t>
            </w:r>
          </w:p>
        </w:tc>
        <w:tc>
          <w:tcPr>
            <w:tcW w:w="3572" w:type="dxa"/>
            <w:vAlign w:val="top"/>
          </w:tcPr>
          <w:p w14:paraId="5E15353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Patch Score、Point-in-Box、遮挡实验、训练动态</w:t>
            </w:r>
          </w:p>
        </w:tc>
      </w:tr>
      <w:tr w14:paraId="317D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F8764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解决方式</w:t>
            </w:r>
          </w:p>
        </w:tc>
        <w:tc>
          <w:tcPr>
            <w:tcW w:w="3572" w:type="dxa"/>
            <w:vAlign w:val="top"/>
          </w:tcPr>
          <w:p w14:paraId="3F66B47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Full AttnRes / Block AttnRes：对历史层输出或块表示做 softmax 注意力聚合</w:t>
            </w:r>
          </w:p>
        </w:tc>
        <w:tc>
          <w:tcPr>
            <w:tcW w:w="3572" w:type="dxa"/>
            <w:vAlign w:val="top"/>
          </w:tcPr>
          <w:p w14:paraId="2943619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LaSt-ViT / LazyStrike：用频率稳定性筛选 token，按通道 Top-K 聚合到 CLS</w:t>
            </w:r>
          </w:p>
        </w:tc>
      </w:tr>
      <w:tr w14:paraId="7AFA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394E2F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最重要价值</w:t>
            </w:r>
          </w:p>
        </w:tc>
        <w:tc>
          <w:tcPr>
            <w:tcW w:w="3572" w:type="dxa"/>
            <w:vAlign w:val="top"/>
          </w:tcPr>
          <w:p w14:paraId="774418B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把残差连接从“固定加和”推进到“可学习的深度选择”</w:t>
            </w:r>
          </w:p>
        </w:tc>
        <w:tc>
          <w:tcPr>
            <w:tcW w:w="3572" w:type="dxa"/>
            <w:vAlign w:val="top"/>
          </w:tcPr>
          <w:p w14:paraId="03DC9EA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把 ViT artifacts 从“高范数 token”推进到“背景捷径/懒惰聚合”的机制解释</w:t>
            </w:r>
          </w:p>
        </w:tc>
      </w:tr>
    </w:tbl>
    <w:p w14:paraId="69B11851"/>
    <w:p w14:paraId="59446F09">
      <w:pPr>
        <w:spacing w:after="120"/>
        <w:ind w:left="170" w:right="170"/>
      </w:pPr>
      <w:r>
        <w:rPr>
          <w:rFonts w:ascii="Noto Sans" w:hAnsi="Noto Sans" w:eastAsia="Noto Sans CJK SC"/>
          <w:color w:val="555555"/>
          <w:sz w:val="18"/>
        </w:rPr>
        <w:t>一句话总结：前者解决“层与层之间怎么汇聚”，后者解决“patch 与 CLS 之间怎么汇聚”。</w:t>
      </w:r>
    </w:p>
    <w:p w14:paraId="11789773">
      <w:r>
        <w:br w:type="page"/>
      </w:r>
    </w:p>
    <w:p w14:paraId="01980E3D">
      <w:pPr>
        <w:pStyle w:val="3"/>
      </w:pPr>
      <w:r>
        <w:rPr>
          <w:rFonts w:ascii="Noto Sans" w:hAnsi="Noto Sans" w:eastAsia="Noto Sans CJK SC"/>
          <w:b/>
        </w:rPr>
        <w:t>二、论文一：Attention Residuals</w:t>
      </w:r>
    </w:p>
    <w:p w14:paraId="7A539BB4">
      <w:r>
        <w:rPr>
          <w:rFonts w:ascii="Noto Sans" w:hAnsi="Noto Sans" w:eastAsia="Noto Sans CJK SC"/>
        </w:rPr>
        <w:t>论文信息：Kimi Team, Attention Residuals, technical report, arXiv:2603.15031。</w:t>
      </w:r>
    </w:p>
    <w:p w14:paraId="25748537">
      <w:r>
        <w:rPr>
          <w:rFonts w:ascii="Noto Sans" w:hAnsi="Noto Sans" w:eastAsia="Noto Sans CJK SC"/>
        </w:rPr>
        <w:t>核心定位：把标准 Transformer/LLM 中的残差连接从固定单位权重累加，改造成对历史层输出的可学习 softmax 注意力聚合。</w:t>
      </w:r>
    </w:p>
    <w:p w14:paraId="4B6F1F45">
      <w:pPr>
        <w:pStyle w:val="4"/>
      </w:pPr>
      <w:r>
        <w:rPr>
          <w:rFonts w:ascii="Noto Sans" w:hAnsi="Noto Sans" w:eastAsia="Noto Sans CJK SC"/>
          <w:b/>
        </w:rPr>
        <w:t>2.1 研究现状与痛点</w:t>
      </w:r>
    </w:p>
    <w:p w14:paraId="557493E6">
      <w:pPr>
        <w:pStyle w:val="16"/>
        <w:spacing w:after="40"/>
      </w:pPr>
      <w:r>
        <w:rPr>
          <w:rFonts w:ascii="Noto Sans" w:hAnsi="Noto Sans" w:eastAsia="Noto Sans CJK SC"/>
          <w:sz w:val="20"/>
        </w:rPr>
        <w:t>标准残差连接是现代深层网络和 LLM 的基础。它一方面提供 identity path，使梯度能够绕过复杂变换，从而稳定训练；另一方面也隐含地规定了“跨层信息如何累积”。</w:t>
      </w:r>
    </w:p>
    <w:p w14:paraId="7D4D322A">
      <w:pPr>
        <w:pStyle w:val="16"/>
        <w:spacing w:after="40"/>
      </w:pPr>
      <w:r>
        <w:rPr>
          <w:rFonts w:ascii="Noto Sans" w:hAnsi="Noto Sans" w:eastAsia="Noto Sans CJK SC"/>
          <w:sz w:val="20"/>
        </w:rPr>
        <w:t>在 PreNorm Transformer 中，残差流通常采用 hl = hl-1 + f(hl-1) 的形式。展开后可以看到，每一层输入都是 embedding 与此前所有层输出的等权求和。这个聚合权重固定为 1，不能根据输入或任务动态选择有用层。</w:t>
      </w:r>
    </w:p>
    <w:p w14:paraId="74CDD6A6">
      <w:pPr>
        <w:pStyle w:val="16"/>
        <w:spacing w:after="40"/>
      </w:pPr>
      <w:r>
        <w:rPr>
          <w:rFonts w:ascii="Noto Sans" w:hAnsi="Noto Sans" w:eastAsia="Noto Sans CJK SC"/>
          <w:sz w:val="20"/>
        </w:rPr>
        <w:t>论文强调 PreNorm dilution：随着深度增加，hidden-state magnitude 近似随 O(L) 增长，使单层输出的相对贡献被逐步稀释。早期信息被压入一个单一的混合状态后，后续层很难再选择性取回。</w:t>
      </w:r>
    </w:p>
    <w:p w14:paraId="15528D7E">
      <w:pPr>
        <w:pStyle w:val="16"/>
        <w:spacing w:after="40"/>
      </w:pPr>
      <w:r>
        <w:rPr>
          <w:rFonts w:ascii="Noto Sans" w:hAnsi="Noto Sans" w:eastAsia="Noto Sans CJK SC"/>
          <w:sz w:val="20"/>
        </w:rPr>
        <w:t>已有改进包括 scaled residual paths、Highway/gated residual、多流 recurrence、DenseFormer、MRLA、MUDDFormer 等。它们或仍受限于单一递归状态，或权重输入无关，或全跨层访问代价高，难以作为大规模 LLM 的直接替代。</w:t>
      </w:r>
    </w:p>
    <w:p w14:paraId="78F2C4B8">
      <w:r>
        <w:rPr>
          <w:rFonts w:ascii="Noto Sans" w:hAnsi="Noto Sans" w:eastAsia="Noto Sans CJK SC"/>
        </w:rPr>
        <w:t>关键问题：残差连接并不只是“加一条捷径”，它实际上是深度维度的信息聚合器。若这个聚合器始终使用固定单位权重，那么模型深度越大，信息选择能力越不足。</w:t>
      </w:r>
    </w:p>
    <w:p w14:paraId="69550EA1">
      <w:pPr>
        <w:pStyle w:val="4"/>
      </w:pPr>
      <w:r>
        <w:rPr>
          <w:rFonts w:ascii="Noto Sans" w:hAnsi="Noto Sans" w:eastAsia="Noto Sans CJK SC"/>
          <w:b/>
        </w:rPr>
        <w:t>2.2 提出的新方法</w:t>
      </w:r>
    </w:p>
    <w:p w14:paraId="35FD9807">
      <w:pPr>
        <w:pStyle w:val="5"/>
      </w:pPr>
      <w:r>
        <w:rPr>
          <w:rFonts w:ascii="Noto Sans" w:hAnsi="Noto Sans" w:eastAsia="Noto Sans CJK SC"/>
          <w:b/>
        </w:rPr>
        <w:t>2.2.1 Full Attention Residuals</w:t>
      </w:r>
    </w:p>
    <w:p w14:paraId="15C486AC">
      <w:pPr>
        <w:pStyle w:val="16"/>
        <w:spacing w:after="40"/>
      </w:pPr>
      <w:r>
        <w:rPr>
          <w:rFonts w:ascii="Noto Sans" w:hAnsi="Noto Sans" w:eastAsia="Noto Sans CJK SC"/>
          <w:sz w:val="20"/>
        </w:rPr>
        <w:t>基本思路：把所有历史层输出看作 depth dimension 上的 value，当前层用一个可学习 pseudo-query wl 对这些 value 做 softmax attention。</w:t>
      </w:r>
    </w:p>
    <w:p w14:paraId="48F3617C">
      <w:pPr>
        <w:pStyle w:val="16"/>
        <w:spacing w:after="40"/>
      </w:pPr>
      <w:r>
        <w:rPr>
          <w:rFonts w:ascii="Noto Sans" w:hAnsi="Noto Sans" w:eastAsia="Noto Sans CJK SC"/>
          <w:sz w:val="20"/>
        </w:rPr>
        <w:t>形式上，层 l 的输入不再是所有历史输出的简单和，而是 h_l = sum_i alpha_{i-&gt;l} · v_i，其中 alpha 由 softmax attention 得到，v_0 是 token embedding，v_i 是第 i 层的输出。</w:t>
      </w:r>
    </w:p>
    <w:p w14:paraId="0424DA3E">
      <w:pPr>
        <w:pStyle w:val="16"/>
        <w:spacing w:after="40"/>
      </w:pPr>
      <w:r>
        <w:rPr>
          <w:rFonts w:ascii="Noto Sans" w:hAnsi="Noto Sans" w:eastAsia="Noto Sans CJK SC"/>
          <w:sz w:val="20"/>
        </w:rPr>
        <w:t>query 设计很轻量：每层只引入一个 d 维 pseudo-query 向量。key/value 直接来自历史层输出，并用 RMSNorm 防止大幅度层输出主导注意力权重。</w:t>
      </w:r>
    </w:p>
    <w:p w14:paraId="0F6E39FA">
      <w:pPr>
        <w:pStyle w:val="16"/>
        <w:spacing w:after="40"/>
      </w:pPr>
      <w:r>
        <w:rPr>
          <w:rFonts w:ascii="Noto Sans" w:hAnsi="Noto Sans" w:eastAsia="Noto Sans CJK SC"/>
          <w:sz w:val="20"/>
        </w:rPr>
        <w:t>优点：相比 DenseFormer 的静态标量系数，AttnRes 的权重是内容相关、softmax 归一化的；相比多流 recurrence，它直接访问历史层输出，不必从单一压缩状态中恢复。</w:t>
      </w:r>
    </w:p>
    <w:p w14:paraId="768B8731">
      <w:pPr>
        <w:pStyle w:val="5"/>
      </w:pPr>
      <w:r>
        <w:rPr>
          <w:rFonts w:ascii="Noto Sans" w:hAnsi="Noto Sans" w:eastAsia="Noto Sans CJK SC"/>
          <w:b/>
        </w:rPr>
        <w:t>2.2.2 Block Attention Residuals</w:t>
      </w:r>
    </w:p>
    <w:p w14:paraId="47E97B52">
      <w:pPr>
        <w:pStyle w:val="16"/>
        <w:spacing w:after="40"/>
      </w:pPr>
      <w:r>
        <w:rPr>
          <w:rFonts w:ascii="Noto Sans" w:hAnsi="Noto Sans" w:eastAsia="Noto Sans CJK SC"/>
          <w:sz w:val="20"/>
        </w:rPr>
        <w:t>Full AttnRes 在普通训练中几乎不增加额外激活存储，因为反向传播本来要保留层输出；但在大规模模型中常使用 activation recomputation 和 pipeline parallelism，此时需要跨 stage 显式保存/传输所有历史层输出，代价变高。</w:t>
      </w:r>
    </w:p>
    <w:p w14:paraId="7F03D25D">
      <w:pPr>
        <w:pStyle w:val="16"/>
        <w:spacing w:after="40"/>
      </w:pPr>
      <w:r>
        <w:rPr>
          <w:rFonts w:ascii="Noto Sans" w:hAnsi="Noto Sans" w:eastAsia="Noto Sans CJK SC"/>
          <w:sz w:val="20"/>
        </w:rPr>
        <w:t>Block AttnRes 将 L 个层划分为 N 个 block。block 内仍用普通 residual 把若干层输出求和成一个 block representation；block 间则对这些 block-level representations 做 AttnRes。</w:t>
      </w:r>
    </w:p>
    <w:p w14:paraId="1ADCEA5D">
      <w:pPr>
        <w:pStyle w:val="16"/>
        <w:spacing w:after="40"/>
      </w:pPr>
      <w:r>
        <w:rPr>
          <w:rFonts w:ascii="Noto Sans" w:hAnsi="Noto Sans" w:eastAsia="Noto Sans CJK SC"/>
          <w:sz w:val="20"/>
        </w:rPr>
        <w:t>复杂度从对 L 个历史层输出注意力，降为对 N 个 block 表示注意力，存储和通信从 O(Ld) 降到 O(Nd)。论文经验上发现 N 约等于 8 时可以保留 Full AttnRes 的大部分收益。</w:t>
      </w:r>
    </w:p>
    <w:p w14:paraId="15D0CBEA">
      <w:pPr>
        <w:pStyle w:val="5"/>
      </w:pPr>
      <w:r>
        <w:rPr>
          <w:rFonts w:ascii="Noto Sans" w:hAnsi="Noto Sans" w:eastAsia="Noto Sans CJK SC"/>
          <w:b/>
        </w:rPr>
        <w:t>2.2.3 大规模系统设计</w:t>
      </w:r>
    </w:p>
    <w:p w14:paraId="08BB1019">
      <w:pPr>
        <w:pStyle w:val="16"/>
        <w:spacing w:after="40"/>
      </w:pPr>
      <w:r>
        <w:rPr>
          <w:rFonts w:ascii="Noto Sans" w:hAnsi="Noto Sans" w:eastAsia="Noto Sans CJK SC"/>
          <w:sz w:val="20"/>
        </w:rPr>
        <w:t>训练端：提出 cross-stage caching，避免 pipeline parallelism 中每个 stage 反复传输完整历史 block，只传递新增 block。</w:t>
      </w:r>
    </w:p>
    <w:p w14:paraId="7EA511F2">
      <w:pPr>
        <w:pStyle w:val="16"/>
        <w:spacing w:after="40"/>
      </w:pPr>
      <w:r>
        <w:rPr>
          <w:rFonts w:ascii="Noto Sans" w:hAnsi="Noto Sans" w:eastAsia="Noto Sans CJK SC"/>
          <w:sz w:val="20"/>
        </w:rPr>
        <w:t>推理端：提出 two-phase computation。第一阶段并行计算 block 内所有层对已完成 block 的 inter-block attention；第二阶段顺序处理 block 内 partial sum，并用 online softmax 合并结果。</w:t>
      </w:r>
    </w:p>
    <w:p w14:paraId="60D13666">
      <w:pPr>
        <w:pStyle w:val="16"/>
        <w:spacing w:after="40"/>
      </w:pPr>
      <w:r>
        <w:rPr>
          <w:rFonts w:ascii="Noto Sans" w:hAnsi="Noto Sans" w:eastAsia="Noto Sans CJK SC"/>
          <w:sz w:val="20"/>
        </w:rPr>
        <w:t>初始化：pseudo-query 向量初始化为 0，使初始 attention weights 均匀，避免训练开始时聚合权重过度偏置导致不稳定。</w:t>
      </w:r>
    </w:p>
    <w:p w14:paraId="13DABE23">
      <w:pPr>
        <w:pStyle w:val="4"/>
      </w:pPr>
      <w:r>
        <w:rPr>
          <w:rFonts w:ascii="Noto Sans" w:hAnsi="Noto Sans" w:eastAsia="Noto Sans CJK SC"/>
          <w:b/>
        </w:rPr>
        <w:t>2.3 实验结果与关键证据</w:t>
      </w:r>
    </w:p>
    <w:p w14:paraId="4F71C598">
      <w:pPr>
        <w:pStyle w:val="5"/>
      </w:pPr>
      <w:r>
        <w:rPr>
          <w:rFonts w:ascii="Noto Sans" w:hAnsi="Noto Sans" w:eastAsia="Noto Sans CJK SC"/>
          <w:b/>
        </w:rPr>
        <w:t>2.3.1 Scaling law</w:t>
      </w:r>
    </w:p>
    <w:p w14:paraId="48B77BFD">
      <w:pPr>
        <w:pStyle w:val="16"/>
        <w:spacing w:after="40"/>
      </w:pPr>
      <w:r>
        <w:rPr>
          <w:rFonts w:ascii="Noto Sans" w:hAnsi="Noto Sans" w:eastAsia="Noto Sans CJK SC"/>
          <w:sz w:val="20"/>
        </w:rPr>
        <w:t>论文在 5 个模型规模上比较 PreNorm baseline、Full AttnRes 和 Block AttnRes。结果显示两种 AttnRes 在所有 compute budgets 下都稳定低于 baseline loss。</w:t>
      </w:r>
    </w:p>
    <w:p w14:paraId="4A1A39A2">
      <w:pPr>
        <w:pStyle w:val="16"/>
        <w:spacing w:after="40"/>
      </w:pPr>
      <w:r>
        <w:rPr>
          <w:rFonts w:ascii="Noto Sans" w:hAnsi="Noto Sans" w:eastAsia="Noto Sans CJK SC"/>
          <w:sz w:val="20"/>
        </w:rPr>
        <w:t>在最大 scale 上，Block AttnRes 几乎追上 Full AttnRes；论文估计 Block AttnRes 可达到约 1.25× compute advantage，即用更少计算达到 baseline 更大计算量的 loss。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701"/>
        <w:gridCol w:w="1701"/>
        <w:gridCol w:w="1701"/>
        <w:gridCol w:w="1701"/>
      </w:tblGrid>
      <w:tr w14:paraId="62799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2F5597"/>
            <w:vAlign w:val="center"/>
          </w:tcPr>
          <w:p w14:paraId="567CC579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规模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2C7A779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Baseline loss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01FBAA8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Block AttnRes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56E857D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Full AttnRes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6486742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mHC-lite</w:t>
            </w:r>
          </w:p>
        </w:tc>
      </w:tr>
      <w:tr w14:paraId="128F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top"/>
          </w:tcPr>
          <w:p w14:paraId="33B2263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194M activated</w:t>
            </w:r>
          </w:p>
        </w:tc>
        <w:tc>
          <w:tcPr>
            <w:tcW w:w="1701" w:type="dxa"/>
            <w:vAlign w:val="top"/>
          </w:tcPr>
          <w:p w14:paraId="38FAA7B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1.931</w:t>
            </w:r>
          </w:p>
        </w:tc>
        <w:tc>
          <w:tcPr>
            <w:tcW w:w="1701" w:type="dxa"/>
            <w:vAlign w:val="top"/>
          </w:tcPr>
          <w:p w14:paraId="76001D2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1.909</w:t>
            </w:r>
          </w:p>
        </w:tc>
        <w:tc>
          <w:tcPr>
            <w:tcW w:w="1701" w:type="dxa"/>
            <w:vAlign w:val="top"/>
          </w:tcPr>
          <w:p w14:paraId="4C6DA0E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1.899</w:t>
            </w:r>
          </w:p>
        </w:tc>
        <w:tc>
          <w:tcPr>
            <w:tcW w:w="1701" w:type="dxa"/>
            <w:vAlign w:val="top"/>
          </w:tcPr>
          <w:p w14:paraId="180EEFA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1.906</w:t>
            </w:r>
          </w:p>
        </w:tc>
      </w:tr>
      <w:tr w14:paraId="1660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top"/>
          </w:tcPr>
          <w:p w14:paraId="101BA9D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241M activated</w:t>
            </w:r>
          </w:p>
        </w:tc>
        <w:tc>
          <w:tcPr>
            <w:tcW w:w="1701" w:type="dxa"/>
            <w:vAlign w:val="top"/>
          </w:tcPr>
          <w:p w14:paraId="36FE62A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1.895</w:t>
            </w:r>
          </w:p>
        </w:tc>
        <w:tc>
          <w:tcPr>
            <w:tcW w:w="1701" w:type="dxa"/>
            <w:vAlign w:val="top"/>
          </w:tcPr>
          <w:p w14:paraId="379DF70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1.875</w:t>
            </w:r>
          </w:p>
        </w:tc>
        <w:tc>
          <w:tcPr>
            <w:tcW w:w="1701" w:type="dxa"/>
            <w:vAlign w:val="top"/>
          </w:tcPr>
          <w:p w14:paraId="3C49556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1.874</w:t>
            </w:r>
          </w:p>
        </w:tc>
        <w:tc>
          <w:tcPr>
            <w:tcW w:w="1701" w:type="dxa"/>
            <w:vAlign w:val="top"/>
          </w:tcPr>
          <w:p w14:paraId="36226BE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1.869</w:t>
            </w:r>
          </w:p>
        </w:tc>
      </w:tr>
      <w:tr w14:paraId="1475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top"/>
          </w:tcPr>
          <w:p w14:paraId="60206C4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296M activated</w:t>
            </w:r>
          </w:p>
        </w:tc>
        <w:tc>
          <w:tcPr>
            <w:tcW w:w="1701" w:type="dxa"/>
            <w:vAlign w:val="top"/>
          </w:tcPr>
          <w:p w14:paraId="4F1F687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1.829</w:t>
            </w:r>
          </w:p>
        </w:tc>
        <w:tc>
          <w:tcPr>
            <w:tcW w:w="1701" w:type="dxa"/>
            <w:vAlign w:val="top"/>
          </w:tcPr>
          <w:p w14:paraId="7FFD8AA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1.809</w:t>
            </w:r>
          </w:p>
        </w:tc>
        <w:tc>
          <w:tcPr>
            <w:tcW w:w="1701" w:type="dxa"/>
            <w:vAlign w:val="top"/>
          </w:tcPr>
          <w:p w14:paraId="6E8A737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1.804</w:t>
            </w:r>
          </w:p>
        </w:tc>
        <w:tc>
          <w:tcPr>
            <w:tcW w:w="1701" w:type="dxa"/>
            <w:vAlign w:val="top"/>
          </w:tcPr>
          <w:p w14:paraId="5EC5D4E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1.807</w:t>
            </w:r>
          </w:p>
        </w:tc>
      </w:tr>
      <w:tr w14:paraId="5A19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top"/>
          </w:tcPr>
          <w:p w14:paraId="24EE39D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436M activated</w:t>
            </w:r>
          </w:p>
        </w:tc>
        <w:tc>
          <w:tcPr>
            <w:tcW w:w="1701" w:type="dxa"/>
            <w:vAlign w:val="top"/>
          </w:tcPr>
          <w:p w14:paraId="426CC39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1.766</w:t>
            </w:r>
          </w:p>
        </w:tc>
        <w:tc>
          <w:tcPr>
            <w:tcW w:w="1701" w:type="dxa"/>
            <w:vAlign w:val="top"/>
          </w:tcPr>
          <w:p w14:paraId="5D602E3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1.746</w:t>
            </w:r>
          </w:p>
        </w:tc>
        <w:tc>
          <w:tcPr>
            <w:tcW w:w="1701" w:type="dxa"/>
            <w:vAlign w:val="top"/>
          </w:tcPr>
          <w:p w14:paraId="7AFEEF0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1.737</w:t>
            </w:r>
          </w:p>
        </w:tc>
        <w:tc>
          <w:tcPr>
            <w:tcW w:w="1701" w:type="dxa"/>
            <w:vAlign w:val="top"/>
          </w:tcPr>
          <w:p w14:paraId="37C4866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1.747</w:t>
            </w:r>
          </w:p>
        </w:tc>
      </w:tr>
      <w:tr w14:paraId="7598E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top"/>
          </w:tcPr>
          <w:p w14:paraId="7F3EDEF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528M activated</w:t>
            </w:r>
          </w:p>
        </w:tc>
        <w:tc>
          <w:tcPr>
            <w:tcW w:w="1701" w:type="dxa"/>
            <w:vAlign w:val="top"/>
          </w:tcPr>
          <w:p w14:paraId="22BE5C2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1.719</w:t>
            </w:r>
          </w:p>
        </w:tc>
        <w:tc>
          <w:tcPr>
            <w:tcW w:w="1701" w:type="dxa"/>
            <w:vAlign w:val="top"/>
          </w:tcPr>
          <w:p w14:paraId="61BD940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1.693</w:t>
            </w:r>
          </w:p>
        </w:tc>
        <w:tc>
          <w:tcPr>
            <w:tcW w:w="1701" w:type="dxa"/>
            <w:vAlign w:val="top"/>
          </w:tcPr>
          <w:p w14:paraId="154C778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1.692</w:t>
            </w:r>
          </w:p>
        </w:tc>
        <w:tc>
          <w:tcPr>
            <w:tcW w:w="1701" w:type="dxa"/>
            <w:vAlign w:val="top"/>
          </w:tcPr>
          <w:p w14:paraId="16C4378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1.694</w:t>
            </w:r>
          </w:p>
        </w:tc>
      </w:tr>
    </w:tbl>
    <w:p w14:paraId="5F736B91"/>
    <w:p w14:paraId="07B11C0F">
      <w:pPr>
        <w:pStyle w:val="5"/>
      </w:pPr>
      <w:r>
        <w:rPr>
          <w:rFonts w:ascii="Noto Sans" w:hAnsi="Noto Sans" w:eastAsia="Noto Sans CJK SC"/>
          <w:b/>
        </w:rPr>
        <w:t>2.3.2 48B/3B activated 模型主实验</w:t>
      </w:r>
    </w:p>
    <w:p w14:paraId="520F8A16">
      <w:pPr>
        <w:pStyle w:val="16"/>
        <w:spacing w:after="40"/>
      </w:pPr>
      <w:r>
        <w:rPr>
          <w:rFonts w:ascii="Noto Sans" w:hAnsi="Noto Sans" w:eastAsia="Noto Sans CJK SC"/>
          <w:sz w:val="20"/>
        </w:rPr>
        <w:t>论文将 Block AttnRes 集成到 Kimi Linear 架构中，模型总参数 48B，激活参数 3B，并使用 1.4T tokens 预训练。</w:t>
      </w:r>
    </w:p>
    <w:p w14:paraId="5A56C497">
      <w:pPr>
        <w:pStyle w:val="16"/>
        <w:spacing w:after="40"/>
      </w:pPr>
      <w:r>
        <w:rPr>
          <w:rFonts w:ascii="Noto Sans" w:hAnsi="Noto Sans" w:eastAsia="Noto Sans CJK SC"/>
          <w:sz w:val="20"/>
        </w:rPr>
        <w:t>训练动态显示：baseline 的输出幅度随深度单调增大，早期层梯度过大；Block AttnRes 则让输出幅度呈 block 内有界周期模式，梯度在深度上更均匀。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14"/>
        <w:gridCol w:w="1814"/>
        <w:gridCol w:w="1814"/>
      </w:tblGrid>
      <w:tr w14:paraId="68C6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F5597"/>
            <w:vAlign w:val="center"/>
          </w:tcPr>
          <w:p w14:paraId="5B1A961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代表性任务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5EFD90C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Baseline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2A3435F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AttnRes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5F5EC29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提升</w:t>
            </w:r>
          </w:p>
        </w:tc>
      </w:tr>
      <w:tr w14:paraId="7D59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8DA175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MMLU</w:t>
            </w:r>
          </w:p>
        </w:tc>
        <w:tc>
          <w:tcPr>
            <w:tcW w:w="1814" w:type="dxa"/>
            <w:vAlign w:val="top"/>
          </w:tcPr>
          <w:p w14:paraId="78FB063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73.5</w:t>
            </w:r>
          </w:p>
        </w:tc>
        <w:tc>
          <w:tcPr>
            <w:tcW w:w="1814" w:type="dxa"/>
            <w:vAlign w:val="top"/>
          </w:tcPr>
          <w:p w14:paraId="26EC3B5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74.6</w:t>
            </w:r>
          </w:p>
        </w:tc>
        <w:tc>
          <w:tcPr>
            <w:tcW w:w="1814" w:type="dxa"/>
            <w:vAlign w:val="top"/>
          </w:tcPr>
          <w:p w14:paraId="56250B1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+1.1</w:t>
            </w:r>
          </w:p>
        </w:tc>
      </w:tr>
      <w:tr w14:paraId="21E3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69CAF3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GPQA-Diamond</w:t>
            </w:r>
          </w:p>
        </w:tc>
        <w:tc>
          <w:tcPr>
            <w:tcW w:w="1814" w:type="dxa"/>
            <w:vAlign w:val="top"/>
          </w:tcPr>
          <w:p w14:paraId="118F177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36.9</w:t>
            </w:r>
          </w:p>
        </w:tc>
        <w:tc>
          <w:tcPr>
            <w:tcW w:w="1814" w:type="dxa"/>
            <w:vAlign w:val="top"/>
          </w:tcPr>
          <w:p w14:paraId="2CA361C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44.4</w:t>
            </w:r>
          </w:p>
        </w:tc>
        <w:tc>
          <w:tcPr>
            <w:tcW w:w="1814" w:type="dxa"/>
            <w:vAlign w:val="top"/>
          </w:tcPr>
          <w:p w14:paraId="1130524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+7.5</w:t>
            </w:r>
          </w:p>
        </w:tc>
      </w:tr>
      <w:tr w14:paraId="4323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BDF3839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BBH</w:t>
            </w:r>
          </w:p>
        </w:tc>
        <w:tc>
          <w:tcPr>
            <w:tcW w:w="1814" w:type="dxa"/>
            <w:vAlign w:val="top"/>
          </w:tcPr>
          <w:p w14:paraId="2111B3B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76.3</w:t>
            </w:r>
          </w:p>
        </w:tc>
        <w:tc>
          <w:tcPr>
            <w:tcW w:w="1814" w:type="dxa"/>
            <w:vAlign w:val="top"/>
          </w:tcPr>
          <w:p w14:paraId="14FA16C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78.0</w:t>
            </w:r>
          </w:p>
        </w:tc>
        <w:tc>
          <w:tcPr>
            <w:tcW w:w="1814" w:type="dxa"/>
            <w:vAlign w:val="top"/>
          </w:tcPr>
          <w:p w14:paraId="3C9282E3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+1.7</w:t>
            </w:r>
          </w:p>
        </w:tc>
      </w:tr>
      <w:tr w14:paraId="189E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2593A43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TriviaQA</w:t>
            </w:r>
          </w:p>
        </w:tc>
        <w:tc>
          <w:tcPr>
            <w:tcW w:w="1814" w:type="dxa"/>
            <w:vAlign w:val="top"/>
          </w:tcPr>
          <w:p w14:paraId="0CCBD89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69.9</w:t>
            </w:r>
          </w:p>
        </w:tc>
        <w:tc>
          <w:tcPr>
            <w:tcW w:w="1814" w:type="dxa"/>
            <w:vAlign w:val="top"/>
          </w:tcPr>
          <w:p w14:paraId="062CB22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71.8</w:t>
            </w:r>
          </w:p>
        </w:tc>
        <w:tc>
          <w:tcPr>
            <w:tcW w:w="1814" w:type="dxa"/>
            <w:vAlign w:val="top"/>
          </w:tcPr>
          <w:p w14:paraId="61C1B61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+1.9</w:t>
            </w:r>
          </w:p>
        </w:tc>
      </w:tr>
      <w:tr w14:paraId="3C552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B1AD9E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Math</w:t>
            </w:r>
          </w:p>
        </w:tc>
        <w:tc>
          <w:tcPr>
            <w:tcW w:w="1814" w:type="dxa"/>
            <w:vAlign w:val="top"/>
          </w:tcPr>
          <w:p w14:paraId="19EE990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53.5</w:t>
            </w:r>
          </w:p>
        </w:tc>
        <w:tc>
          <w:tcPr>
            <w:tcW w:w="1814" w:type="dxa"/>
            <w:vAlign w:val="top"/>
          </w:tcPr>
          <w:p w14:paraId="26B1F14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57.1</w:t>
            </w:r>
          </w:p>
        </w:tc>
        <w:tc>
          <w:tcPr>
            <w:tcW w:w="1814" w:type="dxa"/>
            <w:vAlign w:val="top"/>
          </w:tcPr>
          <w:p w14:paraId="7FC28DA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+3.6</w:t>
            </w:r>
          </w:p>
        </w:tc>
      </w:tr>
      <w:tr w14:paraId="4B01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4902BF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HumanEval</w:t>
            </w:r>
          </w:p>
        </w:tc>
        <w:tc>
          <w:tcPr>
            <w:tcW w:w="1814" w:type="dxa"/>
            <w:vAlign w:val="top"/>
          </w:tcPr>
          <w:p w14:paraId="221DE1E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59.1</w:t>
            </w:r>
          </w:p>
        </w:tc>
        <w:tc>
          <w:tcPr>
            <w:tcW w:w="1814" w:type="dxa"/>
            <w:vAlign w:val="top"/>
          </w:tcPr>
          <w:p w14:paraId="5D6170D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62.2</w:t>
            </w:r>
          </w:p>
        </w:tc>
        <w:tc>
          <w:tcPr>
            <w:tcW w:w="1814" w:type="dxa"/>
            <w:vAlign w:val="top"/>
          </w:tcPr>
          <w:p w14:paraId="7BEC926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+3.1</w:t>
            </w:r>
          </w:p>
        </w:tc>
      </w:tr>
      <w:tr w14:paraId="284A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7A2272D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C-Eval</w:t>
            </w:r>
          </w:p>
        </w:tc>
        <w:tc>
          <w:tcPr>
            <w:tcW w:w="1814" w:type="dxa"/>
            <w:vAlign w:val="top"/>
          </w:tcPr>
          <w:p w14:paraId="15C075F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79.6</w:t>
            </w:r>
          </w:p>
        </w:tc>
        <w:tc>
          <w:tcPr>
            <w:tcW w:w="1814" w:type="dxa"/>
            <w:vAlign w:val="top"/>
          </w:tcPr>
          <w:p w14:paraId="3935290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82.5</w:t>
            </w:r>
          </w:p>
        </w:tc>
        <w:tc>
          <w:tcPr>
            <w:tcW w:w="1814" w:type="dxa"/>
            <w:vAlign w:val="top"/>
          </w:tcPr>
          <w:p w14:paraId="226D4563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+2.9</w:t>
            </w:r>
          </w:p>
        </w:tc>
      </w:tr>
    </w:tbl>
    <w:p w14:paraId="3D6870C2"/>
    <w:p w14:paraId="41018CA4">
      <w:pPr>
        <w:pStyle w:val="5"/>
      </w:pPr>
      <w:r>
        <w:rPr>
          <w:rFonts w:ascii="Noto Sans" w:hAnsi="Noto Sans" w:eastAsia="Noto Sans CJK SC"/>
          <w:b/>
        </w:rPr>
        <w:t>2.3.3 消融实验</w:t>
      </w:r>
    </w:p>
    <w:p w14:paraId="6FEAB92C">
      <w:pPr>
        <w:pStyle w:val="16"/>
        <w:spacing w:after="40"/>
      </w:pPr>
      <w:r>
        <w:rPr>
          <w:rFonts w:ascii="Noto Sans" w:hAnsi="Noto Sans" w:eastAsia="Noto Sans CJK SC"/>
          <w:sz w:val="20"/>
        </w:rPr>
        <w:t>Full AttnRes loss 为 1.737，明显优于 PreNorm baseline 的 1.766、DenseFormer 的 1.767 和 mHC 的 1.747。</w:t>
      </w:r>
    </w:p>
    <w:p w14:paraId="204C2B19">
      <w:pPr>
        <w:pStyle w:val="16"/>
        <w:spacing w:after="40"/>
      </w:pPr>
      <w:r>
        <w:rPr>
          <w:rFonts w:ascii="Noto Sans" w:hAnsi="Noto Sans" w:eastAsia="Noto Sans CJK SC"/>
          <w:sz w:val="20"/>
        </w:rPr>
        <w:t>input-dependent query 版本进一步到 1.731，说明更强的输入相关性仍有潜力；但论文主方法采用更轻量的 learned pseudo-query，以兼顾效率与部署。</w:t>
      </w:r>
    </w:p>
    <w:p w14:paraId="2BD837D9">
      <w:pPr>
        <w:pStyle w:val="16"/>
        <w:spacing w:after="40"/>
      </w:pPr>
      <w:r>
        <w:rPr>
          <w:rFonts w:ascii="Noto Sans" w:hAnsi="Noto Sans" w:eastAsia="Noto Sans CJK SC"/>
          <w:sz w:val="20"/>
        </w:rPr>
        <w:t>不加 RMSNorm、使用 sigmoid、input-independent mixing 或 sliding-window aggregation 都会退化，支持“softmax、归一化、跨远距离层选择”是关键。</w:t>
      </w:r>
    </w:p>
    <w:p w14:paraId="33EB891D">
      <w:pPr>
        <w:pStyle w:val="16"/>
        <w:spacing w:after="40"/>
      </w:pPr>
      <w:r>
        <w:rPr>
          <w:rFonts w:ascii="Noto Sans" w:hAnsi="Noto Sans" w:eastAsia="Noto Sans CJK SC"/>
          <w:sz w:val="20"/>
        </w:rPr>
        <w:t>Block size 越粗，loss 越接近 baseline；S = 2/4/8 均接近 1.746，S = 16/32 退化明显。这说明 coarse block 是可行折中，但 Full 或更细 block 仍可能更强。</w:t>
      </w:r>
    </w:p>
    <w:p w14:paraId="74202650">
      <w:pPr>
        <w:pStyle w:val="4"/>
      </w:pPr>
      <w:r>
        <w:rPr>
          <w:rFonts w:ascii="Noto Sans" w:hAnsi="Noto Sans" w:eastAsia="Noto Sans CJK SC"/>
          <w:b/>
        </w:rPr>
        <w:t>2.4 不足与局限</w:t>
      </w:r>
    </w:p>
    <w:p w14:paraId="475ACC9B">
      <w:pPr>
        <w:pStyle w:val="16"/>
        <w:spacing w:after="40"/>
      </w:pPr>
      <w:r>
        <w:rPr>
          <w:rFonts w:ascii="Noto Sans" w:hAnsi="Noto Sans" w:eastAsia="Noto Sans CJK SC"/>
          <w:sz w:val="20"/>
        </w:rPr>
        <w:t>硬件与系统依赖强。Full AttnRes 需要访问所有前层输出，在当前大规模训练的重计算和流水并行环境中会带来 O(Ld) 级保存和通信压力。Block AttnRes 是工程折中，但并非完全消除成本。</w:t>
      </w:r>
    </w:p>
    <w:p w14:paraId="70DAF3A5">
      <w:pPr>
        <w:pStyle w:val="16"/>
        <w:spacing w:after="40"/>
      </w:pPr>
      <w:r>
        <w:rPr>
          <w:rFonts w:ascii="Noto Sans" w:hAnsi="Noto Sans" w:eastAsia="Noto Sans CJK SC"/>
          <w:sz w:val="20"/>
        </w:rPr>
        <w:t>主要验证在 Kimi Linear / MoE 风格 LLM 上。虽然方法理念适用于 Transformer，但论文没有系统覆盖 dense decoder-only、encoder-decoder、小模型、视觉 Transformer、扩散模型等多架构。</w:t>
      </w:r>
    </w:p>
    <w:p w14:paraId="07246A41">
      <w:pPr>
        <w:pStyle w:val="16"/>
        <w:spacing w:after="40"/>
      </w:pPr>
      <w:r>
        <w:rPr>
          <w:rFonts w:ascii="Noto Sans" w:hAnsi="Noto Sans" w:eastAsia="Noto Sans CJK SC"/>
          <w:sz w:val="20"/>
        </w:rPr>
        <w:t>收益与 block 划分相关。N 约为 8 是经验选择，具体最优值可能随深度、宽度、并行策略、训练阶段和硬件变化。</w:t>
      </w:r>
    </w:p>
    <w:p w14:paraId="685CA9BB">
      <w:pPr>
        <w:pStyle w:val="16"/>
        <w:spacing w:after="40"/>
      </w:pPr>
      <w:r>
        <w:rPr>
          <w:rFonts w:ascii="Noto Sans" w:hAnsi="Noto Sans" w:eastAsia="Noto Sans CJK SC"/>
          <w:sz w:val="20"/>
        </w:rPr>
        <w:t>可解释性仍有限。AttnRes 的深度 attention weights 可以观察，但哪些层应该成为 attention sink、不同任务是否需要不同层组合，还需要更细粒度机制分析。</w:t>
      </w:r>
    </w:p>
    <w:p w14:paraId="362F71D8">
      <w:pPr>
        <w:pStyle w:val="16"/>
        <w:spacing w:after="40"/>
      </w:pPr>
      <w:r>
        <w:rPr>
          <w:rFonts w:ascii="Noto Sans" w:hAnsi="Noto Sans" w:eastAsia="Noto Sans CJK SC"/>
          <w:sz w:val="20"/>
        </w:rPr>
        <w:t>下游评测主要是预训练后标准 benchmark。是否在 instruction tuning、RLHF、长上下文推理、多模态大模型、低资源微调中保持同等优势，仍需更多实证。</w:t>
      </w:r>
    </w:p>
    <w:p w14:paraId="4A7FADF5">
      <w:pPr>
        <w:pStyle w:val="16"/>
        <w:spacing w:after="40"/>
      </w:pPr>
      <w:r>
        <w:rPr>
          <w:rFonts w:ascii="Noto Sans" w:hAnsi="Noto Sans" w:eastAsia="Noto Sans CJK SC"/>
          <w:sz w:val="20"/>
        </w:rPr>
        <w:t>增加了残差路径中的动态操作。虽然论文称训练 overhead 边际、推理 latency overhead 低，但真实工业部署需考虑 kernel 融合、cache 管理、故障恢复和框架兼容成本。</w:t>
      </w:r>
    </w:p>
    <w:p w14:paraId="1F56A174">
      <w:pPr>
        <w:pStyle w:val="4"/>
      </w:pPr>
      <w:r>
        <w:rPr>
          <w:rFonts w:ascii="Noto Sans" w:hAnsi="Noto Sans" w:eastAsia="Noto Sans CJK SC"/>
          <w:b/>
        </w:rPr>
        <w:t>2.5 可借鉴点与后续方向</w:t>
      </w:r>
    </w:p>
    <w:p w14:paraId="3829F257">
      <w:pPr>
        <w:pStyle w:val="16"/>
        <w:spacing w:after="40"/>
      </w:pPr>
      <w:r>
        <w:rPr>
          <w:rFonts w:ascii="Noto Sans" w:hAnsi="Noto Sans" w:eastAsia="Noto Sans CJK SC"/>
          <w:sz w:val="20"/>
        </w:rPr>
        <w:t>把“残差连接”视为一个可设计的信息路由模块，而不是默认相加。这个视角可迁移到视觉模型、扩散模型、多模态模型中的 skip connection、feature fusion 和 memory fusion。</w:t>
      </w:r>
    </w:p>
    <w:p w14:paraId="76381259">
      <w:pPr>
        <w:pStyle w:val="16"/>
        <w:spacing w:after="40"/>
      </w:pPr>
      <w:r>
        <w:rPr>
          <w:rFonts w:ascii="Noto Sans" w:hAnsi="Noto Sans" w:eastAsia="Noto Sans CJK SC"/>
          <w:sz w:val="20"/>
        </w:rPr>
        <w:t>Block AttnRes 的工程思想值得借鉴：先用结构约束降低可访问对象数量，再用缓存和两阶段计算减少通信和 I/O。</w:t>
      </w:r>
    </w:p>
    <w:p w14:paraId="5D6DA496">
      <w:pPr>
        <w:pStyle w:val="16"/>
        <w:spacing w:after="40"/>
      </w:pPr>
      <w:r>
        <w:rPr>
          <w:rFonts w:ascii="Noto Sans" w:hAnsi="Noto Sans" w:eastAsia="Noto Sans CJK SC"/>
          <w:sz w:val="20"/>
        </w:rPr>
        <w:t>后续可研究更稀疏、更低秩或线性复杂度的 depth attention，以在超深模型中接近 Full AttnRes 的表达能力。</w:t>
      </w:r>
    </w:p>
    <w:p w14:paraId="0E2E3FB6">
      <w:pPr>
        <w:pStyle w:val="16"/>
        <w:spacing w:after="40"/>
      </w:pPr>
      <w:r>
        <w:rPr>
          <w:rFonts w:ascii="Noto Sans" w:hAnsi="Noto Sans" w:eastAsia="Noto Sans CJK SC"/>
          <w:sz w:val="20"/>
        </w:rPr>
        <w:t>可与 PostNorm 回归、SiameseNorm、residual scaling、MoE routing 等技术组合，探索“深度信息流 + 专家路由”的协同。</w:t>
      </w:r>
    </w:p>
    <w:p w14:paraId="24CA35E2">
      <w:pPr>
        <w:pStyle w:val="16"/>
        <w:spacing w:after="40"/>
      </w:pPr>
      <w:r>
        <w:rPr>
          <w:rFonts w:ascii="Noto Sans" w:hAnsi="Noto Sans" w:eastAsia="Noto Sans CJK SC"/>
          <w:sz w:val="20"/>
        </w:rPr>
        <w:t>如果做论文汇报，可强调它不是单纯“多加一个 attention”，而是把时间维度上 RNN→Transformer 的转换，类比迁移到网络深度维度。</w:t>
      </w:r>
    </w:p>
    <w:p w14:paraId="0AA5888B">
      <w:r>
        <w:br w:type="page"/>
      </w:r>
    </w:p>
    <w:p w14:paraId="50DCB65A">
      <w:pPr>
        <w:pStyle w:val="3"/>
      </w:pPr>
      <w:r>
        <w:rPr>
          <w:rFonts w:ascii="Noto Sans" w:hAnsi="Noto Sans" w:eastAsia="Noto Sans CJK SC"/>
          <w:b/>
        </w:rPr>
        <w:t>三、论文二：Vision Transformers Need More Than Registers</w:t>
      </w:r>
    </w:p>
    <w:p w14:paraId="0D1FDBBE">
      <w:r>
        <w:rPr>
          <w:rFonts w:ascii="Noto Sans" w:hAnsi="Noto Sans" w:eastAsia="Noto Sans CJK SC"/>
        </w:rPr>
        <w:t>论文信息：Cheng Shi, Yizhou Yu, Sibei Yang, Vision Transformers Need More Than Registers, arXiv:2602.22394。</w:t>
      </w:r>
    </w:p>
    <w:p w14:paraId="1F881F8C">
      <w:r>
        <w:rPr>
          <w:rFonts w:ascii="Noto Sans" w:hAnsi="Noto Sans" w:eastAsia="Noto Sans CJK SC"/>
        </w:rPr>
        <w:t>核心定位：解释 ViT 在不同监督范式下出现 dense-feature artifacts 的根因，提出 LaSt-ViT / LazyStrike，通过选择性聚合 patch features 到 CLS token 来减少背景捷径。</w:t>
      </w:r>
    </w:p>
    <w:p w14:paraId="2D56E6F5">
      <w:pPr>
        <w:pStyle w:val="4"/>
      </w:pPr>
      <w:r>
        <w:rPr>
          <w:rFonts w:ascii="Noto Sans" w:hAnsi="Noto Sans" w:eastAsia="Noto Sans CJK SC"/>
          <w:b/>
        </w:rPr>
        <w:t>3.1 研究现状与痛点</w:t>
      </w:r>
    </w:p>
    <w:p w14:paraId="22ADA15A">
      <w:pPr>
        <w:pStyle w:val="16"/>
        <w:spacing w:after="40"/>
      </w:pPr>
      <w:r>
        <w:rPr>
          <w:rFonts w:ascii="Noto Sans" w:hAnsi="Noto Sans" w:eastAsia="Noto Sans CJK SC"/>
          <w:sz w:val="20"/>
        </w:rPr>
        <w:t>ViT 已成为图像识别、视觉基础模型、CLIP 视觉编码器和 DINO 自监督模型的重要 backbone。它在图像级任务上表现强，但在 dense prediction、object discovery、open-vocabulary segmentation 等任务中常出现 feature artifacts。</w:t>
      </w:r>
    </w:p>
    <w:p w14:paraId="2C65CD00">
      <w:pPr>
        <w:pStyle w:val="16"/>
        <w:spacing w:after="40"/>
      </w:pPr>
      <w:r>
        <w:rPr>
          <w:rFonts w:ascii="Noto Sans" w:hAnsi="Noto Sans" w:eastAsia="Noto Sans CJK SC"/>
          <w:sz w:val="20"/>
        </w:rPr>
        <w:t>不同监督范式下的表面问题不同：label-supervised ViT 存在 attention deficit；text-supervised ViT 的 patch feature 与文本语义对齐不佳；self-supervised DINOv2 中出现 high-norm tokens，影响对象定位。</w:t>
      </w:r>
    </w:p>
    <w:p w14:paraId="3907A7CE">
      <w:pPr>
        <w:pStyle w:val="16"/>
        <w:spacing w:after="40"/>
      </w:pPr>
      <w:r>
        <w:rPr>
          <w:rFonts w:ascii="Noto Sans" w:hAnsi="Noto Sans" w:eastAsia="Noto Sans CJK SC"/>
          <w:sz w:val="20"/>
        </w:rPr>
        <w:t>已有方法包括修改最后 attention 层、额外对齐训练、test-time activation editing、引入 register tokens 等。但论文认为 Register 只能缓解 high-norm 现象，不能解释和解决 artifacts 的根因。</w:t>
      </w:r>
    </w:p>
    <w:p w14:paraId="67178216">
      <w:pPr>
        <w:pStyle w:val="16"/>
        <w:spacing w:after="40"/>
      </w:pPr>
      <w:r>
        <w:rPr>
          <w:rFonts w:ascii="Noto Sans" w:hAnsi="Noto Sans" w:eastAsia="Noto Sans CJK SC"/>
          <w:sz w:val="20"/>
        </w:rPr>
        <w:t>根本难点在于：图像级/文本级粗粒度监督只约束全局表示，不提供 patch-level 监督；而 ViT 的全局注意力又允许前景语义扩散到大量背景 patch，从而形成 lazy aggregation。</w:t>
      </w:r>
    </w:p>
    <w:p w14:paraId="2485F04A">
      <w:pPr>
        <w:pStyle w:val="4"/>
      </w:pPr>
      <w:r>
        <w:rPr>
          <w:rFonts w:ascii="Noto Sans" w:hAnsi="Noto Sans" w:eastAsia="Noto Sans CJK SC"/>
          <w:b/>
        </w:rPr>
        <w:t>3.2 提出的新方法</w:t>
      </w:r>
    </w:p>
    <w:p w14:paraId="2F81131E">
      <w:pPr>
        <w:pStyle w:val="5"/>
      </w:pPr>
      <w:r>
        <w:rPr>
          <w:rFonts w:ascii="Noto Sans" w:hAnsi="Noto Sans" w:eastAsia="Noto Sans CJK SC"/>
          <w:b/>
        </w:rPr>
        <w:t>3.2.1 统一诊断指标：Patch Score 与 Point-in-Box</w:t>
      </w:r>
    </w:p>
    <w:p w14:paraId="0D020A2D">
      <w:pPr>
        <w:pStyle w:val="16"/>
        <w:spacing w:after="40"/>
      </w:pPr>
      <w:r>
        <w:rPr>
          <w:rFonts w:ascii="Noto Sans" w:hAnsi="Noto Sans" w:eastAsia="Noto Sans CJK SC"/>
          <w:sz w:val="20"/>
        </w:rPr>
        <w:t>Patch Score 定义为 patch feature 与全局 CLS representation 的余弦相似度，用于衡量局部 patch 与图像级语义的一致性。</w:t>
      </w:r>
    </w:p>
    <w:p w14:paraId="453F1FBF">
      <w:pPr>
        <w:pStyle w:val="16"/>
        <w:spacing w:after="40"/>
      </w:pPr>
      <w:r>
        <w:rPr>
          <w:rFonts w:ascii="Noto Sans" w:hAnsi="Noto Sans" w:eastAsia="Noto Sans CJK SC"/>
          <w:sz w:val="20"/>
        </w:rPr>
        <w:t>Point-in-Box (PiB) 判断 Patch Score 最高的 patch 是否落在标注前景框中，用来定量评估 CLS 关注是否对齐到真实前景。</w:t>
      </w:r>
    </w:p>
    <w:p w14:paraId="45881D00">
      <w:pPr>
        <w:pStyle w:val="16"/>
        <w:spacing w:after="40"/>
      </w:pPr>
      <w:r>
        <w:rPr>
          <w:rFonts w:ascii="Noto Sans" w:hAnsi="Noto Sans" w:eastAsia="Noto Sans CJK SC"/>
          <w:sz w:val="20"/>
        </w:rPr>
        <w:t>论文发现，在不同监督设置下，ViT 往往给背景 patch 更高 Patch Score，PiB 显著低于 ConvNet；而 Register 虽能消除 high-norm token，却不提高甚至降低 PiB，说明 high-norm 不是根因。</w:t>
      </w:r>
    </w:p>
    <w:p w14:paraId="63C3C4A4">
      <w:pPr>
        <w:pStyle w:val="5"/>
      </w:pPr>
      <w:r>
        <w:rPr>
          <w:rFonts w:ascii="Noto Sans" w:hAnsi="Noto Sans" w:eastAsia="Noto Sans CJK SC"/>
          <w:b/>
        </w:rPr>
        <w:t>3.2.2 机制解释：Lazy Aggregation</w:t>
      </w:r>
    </w:p>
    <w:p w14:paraId="24324AED">
      <w:pPr>
        <w:pStyle w:val="16"/>
        <w:spacing w:after="40"/>
      </w:pPr>
      <w:r>
        <w:rPr>
          <w:rFonts w:ascii="Noto Sans" w:hAnsi="Noto Sans" w:eastAsia="Noto Sans CJK SC"/>
          <w:sz w:val="20"/>
        </w:rPr>
        <w:t>自然图像中背景 patch 数量通常多于前景 patch。粗粒度图像级监督不告诉模型哪些 patch 真正对应类别，模型会寻找最容易降低 loss 的捷径。</w:t>
      </w:r>
    </w:p>
    <w:p w14:paraId="70C11C21">
      <w:pPr>
        <w:pStyle w:val="16"/>
        <w:spacing w:after="40"/>
      </w:pPr>
      <w:r>
        <w:rPr>
          <w:rFonts w:ascii="Noto Sans" w:hAnsi="Noto Sans" w:eastAsia="Noto Sans CJK SC"/>
          <w:sz w:val="20"/>
        </w:rPr>
        <w:t>全局注意力使背景 patch 能吸收前景信息，因此背景 token 也可携带全局语义。CLS token 最终可能从大量背景 token 中聚合语义，形成“看似有效但不利于 dense feature”的 lazy aggregation。</w:t>
      </w:r>
    </w:p>
    <w:p w14:paraId="16BA8254">
      <w:pPr>
        <w:pStyle w:val="16"/>
        <w:spacing w:after="40"/>
      </w:pPr>
      <w:r>
        <w:rPr>
          <w:rFonts w:ascii="Noto Sans" w:hAnsi="Noto Sans" w:eastAsia="Noto Sans CJK SC"/>
          <w:sz w:val="20"/>
        </w:rPr>
        <w:t>遮挡实验支持该解释：移除高 Patch Score 的背景 patch 并不显著损害分类准确率，甚至可能略有提升；相反，移除低 Patch Score 的前景相关 patch 会显著降低准确率。</w:t>
      </w:r>
    </w:p>
    <w:p w14:paraId="7430A8CE">
      <w:pPr>
        <w:pStyle w:val="16"/>
        <w:spacing w:after="40"/>
      </w:pPr>
      <w:r>
        <w:rPr>
          <w:rFonts w:ascii="Noto Sans" w:hAnsi="Noto Sans" w:eastAsia="Noto Sans CJK SC"/>
          <w:sz w:val="20"/>
        </w:rPr>
        <w:t>训练动态显示，ViT 的低 PiB 在训练早期即出现且持续存在，说明 artifacts 不是训练末期偶然副产物，而是优化过程很早形成的结构性行为。</w:t>
      </w:r>
    </w:p>
    <w:p w14:paraId="266C9923">
      <w:pPr>
        <w:pStyle w:val="5"/>
      </w:pPr>
      <w:r>
        <w:rPr>
          <w:rFonts w:ascii="Noto Sans" w:hAnsi="Noto Sans" w:eastAsia="Noto Sans CJK SC"/>
          <w:b/>
        </w:rPr>
        <w:t>3.2.3 LaSt-ViT / LazyStrike</w:t>
      </w:r>
    </w:p>
    <w:p w14:paraId="079E2943">
      <w:pPr>
        <w:pStyle w:val="16"/>
        <w:spacing w:after="40"/>
      </w:pPr>
      <w:r>
        <w:rPr>
          <w:rFonts w:ascii="Noto Sans" w:hAnsi="Noto Sans" w:eastAsia="Noto Sans CJK SC"/>
          <w:sz w:val="20"/>
        </w:rPr>
        <w:t>总体思想：不要让 CLS token 无差别聚合所有 patch，而是选择更稳定、更可能属于前景的 patch features。</w:t>
      </w:r>
    </w:p>
    <w:p w14:paraId="00FE33ED">
      <w:pPr>
        <w:pStyle w:val="16"/>
        <w:spacing w:after="40"/>
      </w:pPr>
      <w:r>
        <w:rPr>
          <w:rFonts w:ascii="Noto Sans" w:hAnsi="Noto Sans" w:eastAsia="Noto Sans CJK SC"/>
          <w:sz w:val="20"/>
        </w:rPr>
        <w:t>频率稳定性：对 patch representation 在通道维度做 1D FFT，经过 Gaussian low-pass filter，再逆变换得到低通版本。若某个 patch/channel 在低通前后变化小，则认为该通道语义更稳定。</w:t>
      </w:r>
    </w:p>
    <w:p w14:paraId="76B425CF">
      <w:pPr>
        <w:pStyle w:val="16"/>
        <w:spacing w:after="40"/>
      </w:pPr>
      <w:r>
        <w:rPr>
          <w:rFonts w:ascii="Noto Sans" w:hAnsi="Noto Sans" w:eastAsia="Noto Sans CJK SC"/>
          <w:sz w:val="20"/>
        </w:rPr>
        <w:t>Channel-wise Top-K Pooling：对每个通道，选择稳定性得分最高的 K 个 patch，并对这些 patch 的该通道特征取平均，组成 CLS representation。</w:t>
      </w:r>
    </w:p>
    <w:p w14:paraId="4D7142C4">
      <w:pPr>
        <w:pStyle w:val="16"/>
        <w:spacing w:after="40"/>
      </w:pPr>
      <w:r>
        <w:rPr>
          <w:rFonts w:ascii="Noto Sans" w:hAnsi="Noto Sans" w:eastAsia="Noto Sans CJK SC"/>
          <w:sz w:val="20"/>
        </w:rPr>
        <w:t>Vote Count：统计每个 patch 被多少通道选入 Top-K，用于可视化 CLS 主要从哪些 patch 聚合信息。实验显示高 vote patch 更集中在前景对象区域。</w:t>
      </w:r>
    </w:p>
    <w:p w14:paraId="60BAAA6C">
      <w:pPr>
        <w:pStyle w:val="4"/>
      </w:pPr>
      <w:r>
        <w:rPr>
          <w:rFonts w:ascii="Noto Sans" w:hAnsi="Noto Sans" w:eastAsia="Noto Sans CJK SC"/>
          <w:b/>
        </w:rPr>
        <w:t>3.3 实验结果与关键证据</w:t>
      </w:r>
    </w:p>
    <w:p w14:paraId="5E2A11A6">
      <w:pPr>
        <w:pStyle w:val="5"/>
      </w:pPr>
      <w:r>
        <w:rPr>
          <w:rFonts w:ascii="Noto Sans" w:hAnsi="Noto Sans" w:eastAsia="Noto Sans CJK SC"/>
          <w:b/>
        </w:rPr>
        <w:t>3.3.1 Artifact elimination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2551"/>
        <w:gridCol w:w="1701"/>
      </w:tblGrid>
      <w:tr w14:paraId="296C6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317C24F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原模型</w:t>
            </w:r>
          </w:p>
        </w:tc>
        <w:tc>
          <w:tcPr>
            <w:tcW w:w="1417" w:type="dxa"/>
            <w:shd w:val="clear" w:color="auto" w:fill="2F5597"/>
            <w:vAlign w:val="center"/>
          </w:tcPr>
          <w:p w14:paraId="6EDA4DC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PiB</w:t>
            </w:r>
          </w:p>
        </w:tc>
        <w:tc>
          <w:tcPr>
            <w:tcW w:w="2551" w:type="dxa"/>
            <w:shd w:val="clear" w:color="auto" w:fill="2F5597"/>
            <w:vAlign w:val="center"/>
          </w:tcPr>
          <w:p w14:paraId="269BF8C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加入 LazyStrike 后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6E9971B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PiB</w:t>
            </w:r>
          </w:p>
        </w:tc>
      </w:tr>
      <w:tr w14:paraId="3E44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829E19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</w:t>
            </w:r>
          </w:p>
        </w:tc>
        <w:tc>
          <w:tcPr>
            <w:tcW w:w="1417" w:type="dxa"/>
            <w:vAlign w:val="top"/>
          </w:tcPr>
          <w:p w14:paraId="55D6355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42.7</w:t>
            </w:r>
          </w:p>
        </w:tc>
        <w:tc>
          <w:tcPr>
            <w:tcW w:w="2551" w:type="dxa"/>
            <w:vAlign w:val="top"/>
          </w:tcPr>
          <w:p w14:paraId="5AE275A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 + LazyStrike</w:t>
            </w:r>
          </w:p>
        </w:tc>
        <w:tc>
          <w:tcPr>
            <w:tcW w:w="1701" w:type="dxa"/>
            <w:vAlign w:val="top"/>
          </w:tcPr>
          <w:p w14:paraId="7B95C0A9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55.1 (+12.4)</w:t>
            </w:r>
          </w:p>
        </w:tc>
      </w:tr>
      <w:tr w14:paraId="25E2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63FDA7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DINO-v1</w:t>
            </w:r>
          </w:p>
        </w:tc>
        <w:tc>
          <w:tcPr>
            <w:tcW w:w="1417" w:type="dxa"/>
            <w:vAlign w:val="top"/>
          </w:tcPr>
          <w:p w14:paraId="4C5C15B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44.5</w:t>
            </w:r>
          </w:p>
        </w:tc>
        <w:tc>
          <w:tcPr>
            <w:tcW w:w="2551" w:type="dxa"/>
            <w:vAlign w:val="top"/>
          </w:tcPr>
          <w:p w14:paraId="7D636AE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DINO-v1 + LazyStrike</w:t>
            </w:r>
          </w:p>
        </w:tc>
        <w:tc>
          <w:tcPr>
            <w:tcW w:w="1701" w:type="dxa"/>
            <w:vAlign w:val="top"/>
          </w:tcPr>
          <w:p w14:paraId="575A3A9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69.7 (+25.2)</w:t>
            </w:r>
          </w:p>
        </w:tc>
      </w:tr>
      <w:tr w14:paraId="5C3B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2850F8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CLIP</w:t>
            </w:r>
          </w:p>
        </w:tc>
        <w:tc>
          <w:tcPr>
            <w:tcW w:w="1417" w:type="dxa"/>
            <w:vAlign w:val="top"/>
          </w:tcPr>
          <w:p w14:paraId="1971204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39.8</w:t>
            </w:r>
          </w:p>
        </w:tc>
        <w:tc>
          <w:tcPr>
            <w:tcW w:w="2551" w:type="dxa"/>
            <w:vAlign w:val="top"/>
          </w:tcPr>
          <w:p w14:paraId="2C68324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CLIP + LazyStrike</w:t>
            </w:r>
          </w:p>
        </w:tc>
        <w:tc>
          <w:tcPr>
            <w:tcW w:w="1701" w:type="dxa"/>
            <w:vAlign w:val="top"/>
          </w:tcPr>
          <w:p w14:paraId="1873BC7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50.1 (+10.3)</w:t>
            </w:r>
          </w:p>
        </w:tc>
      </w:tr>
    </w:tbl>
    <w:p w14:paraId="7A1BB5EE"/>
    <w:p w14:paraId="4DB25191">
      <w:pPr>
        <w:pStyle w:val="16"/>
        <w:spacing w:after="40"/>
      </w:pPr>
      <w:r>
        <w:rPr>
          <w:rFonts w:ascii="Noto Sans" w:hAnsi="Noto Sans" w:eastAsia="Noto Sans CJK SC"/>
          <w:sz w:val="20"/>
        </w:rPr>
        <w:t>LazyStrike 不仅改善 PiB，还消除了 high-norm phenomenon，说明它处理的是更底层的背景捷径，而不是只搬移异常 token。</w:t>
      </w:r>
    </w:p>
    <w:p w14:paraId="283DF6CA">
      <w:pPr>
        <w:pStyle w:val="5"/>
      </w:pPr>
      <w:r>
        <w:rPr>
          <w:rFonts w:ascii="Noto Sans" w:hAnsi="Noto Sans" w:eastAsia="Noto Sans CJK SC"/>
          <w:b/>
        </w:rPr>
        <w:t>3.3.2 Text-supervised CLIP 语义分割</w:t>
      </w:r>
    </w:p>
    <w:p w14:paraId="58931213">
      <w:pPr>
        <w:pStyle w:val="16"/>
        <w:spacing w:after="40"/>
      </w:pPr>
      <w:r>
        <w:rPr>
          <w:rFonts w:ascii="Noto Sans" w:hAnsi="Noto Sans" w:eastAsia="Noto Sans CJK SC"/>
          <w:sz w:val="20"/>
        </w:rPr>
        <w:t>在 6 个 zero-shot semantic segmentation benchmark 上，LazyStrike 对 CLIP、MetaCLIP、EVACLIP 以及 ViT-B/16、ViT-L/14 都带来一致 mIoU 提升。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68"/>
        <w:gridCol w:w="1417"/>
      </w:tblGrid>
      <w:tr w14:paraId="5F6D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108909C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32314BE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代表基准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5942D04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mIoU 变化</w:t>
            </w:r>
          </w:p>
        </w:tc>
        <w:tc>
          <w:tcPr>
            <w:tcW w:w="1417" w:type="dxa"/>
            <w:shd w:val="clear" w:color="auto" w:fill="2F5597"/>
            <w:vAlign w:val="center"/>
          </w:tcPr>
          <w:p w14:paraId="4ED57FC2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提升</w:t>
            </w:r>
          </w:p>
        </w:tc>
      </w:tr>
      <w:tr w14:paraId="0F9E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7A4859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CLIP ViT-B/16</w:t>
            </w:r>
          </w:p>
        </w:tc>
        <w:tc>
          <w:tcPr>
            <w:tcW w:w="1701" w:type="dxa"/>
            <w:vAlign w:val="top"/>
          </w:tcPr>
          <w:p w14:paraId="3883DB1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VOC20</w:t>
            </w:r>
          </w:p>
        </w:tc>
        <w:tc>
          <w:tcPr>
            <w:tcW w:w="2268" w:type="dxa"/>
            <w:vAlign w:val="top"/>
          </w:tcPr>
          <w:p w14:paraId="0D52C81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49.0 → 75.0</w:t>
            </w:r>
          </w:p>
        </w:tc>
        <w:tc>
          <w:tcPr>
            <w:tcW w:w="1417" w:type="dxa"/>
            <w:vAlign w:val="top"/>
          </w:tcPr>
          <w:p w14:paraId="7AA0F79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+26.0</w:t>
            </w:r>
          </w:p>
        </w:tc>
      </w:tr>
      <w:tr w14:paraId="78AA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0DD335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CLIP ViT-L/14</w:t>
            </w:r>
          </w:p>
        </w:tc>
        <w:tc>
          <w:tcPr>
            <w:tcW w:w="1701" w:type="dxa"/>
            <w:vAlign w:val="top"/>
          </w:tcPr>
          <w:p w14:paraId="6399683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VOC20</w:t>
            </w:r>
          </w:p>
        </w:tc>
        <w:tc>
          <w:tcPr>
            <w:tcW w:w="2268" w:type="dxa"/>
            <w:vAlign w:val="top"/>
          </w:tcPr>
          <w:p w14:paraId="59B514E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17.1 → 72.4</w:t>
            </w:r>
          </w:p>
        </w:tc>
        <w:tc>
          <w:tcPr>
            <w:tcW w:w="1417" w:type="dxa"/>
            <w:vAlign w:val="top"/>
          </w:tcPr>
          <w:p w14:paraId="015C5BA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+55.3</w:t>
            </w:r>
          </w:p>
        </w:tc>
      </w:tr>
      <w:tr w14:paraId="070C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2A8995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EVACLIP ViT-B/16</w:t>
            </w:r>
          </w:p>
        </w:tc>
        <w:tc>
          <w:tcPr>
            <w:tcW w:w="1701" w:type="dxa"/>
            <w:vAlign w:val="top"/>
          </w:tcPr>
          <w:p w14:paraId="61B06DDE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Cityscapes</w:t>
            </w:r>
          </w:p>
        </w:tc>
        <w:tc>
          <w:tcPr>
            <w:tcW w:w="2268" w:type="dxa"/>
            <w:vAlign w:val="top"/>
          </w:tcPr>
          <w:p w14:paraId="39EEBCE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12.2 → 24.5</w:t>
            </w:r>
          </w:p>
        </w:tc>
        <w:tc>
          <w:tcPr>
            <w:tcW w:w="1417" w:type="dxa"/>
            <w:vAlign w:val="top"/>
          </w:tcPr>
          <w:p w14:paraId="3644F46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+12.3</w:t>
            </w:r>
          </w:p>
        </w:tc>
      </w:tr>
      <w:tr w14:paraId="0F7F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3EDF0F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MetaCLIP ViT-L/14</w:t>
            </w:r>
          </w:p>
        </w:tc>
        <w:tc>
          <w:tcPr>
            <w:tcW w:w="1701" w:type="dxa"/>
            <w:vAlign w:val="top"/>
          </w:tcPr>
          <w:p w14:paraId="1CCFA52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VOC20</w:t>
            </w:r>
          </w:p>
        </w:tc>
        <w:tc>
          <w:tcPr>
            <w:tcW w:w="2268" w:type="dxa"/>
            <w:vAlign w:val="top"/>
          </w:tcPr>
          <w:p w14:paraId="6CEE0DB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25.7 → 75.6</w:t>
            </w:r>
          </w:p>
        </w:tc>
        <w:tc>
          <w:tcPr>
            <w:tcW w:w="1417" w:type="dxa"/>
            <w:vAlign w:val="top"/>
          </w:tcPr>
          <w:p w14:paraId="3D07AB2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+49.9</w:t>
            </w:r>
          </w:p>
        </w:tc>
      </w:tr>
    </w:tbl>
    <w:p w14:paraId="73D5956F"/>
    <w:p w14:paraId="580431DA">
      <w:pPr>
        <w:pStyle w:val="5"/>
      </w:pPr>
      <w:r>
        <w:rPr>
          <w:rFonts w:ascii="Noto Sans" w:hAnsi="Noto Sans" w:eastAsia="Noto Sans CJK SC"/>
          <w:b/>
        </w:rPr>
        <w:t>3.3.3 Open-vocabulary detection / segmentation</w:t>
      </w:r>
    </w:p>
    <w:p w14:paraId="1D2E55EC">
      <w:pPr>
        <w:pStyle w:val="16"/>
        <w:spacing w:after="40"/>
      </w:pPr>
      <w:r>
        <w:rPr>
          <w:rFonts w:ascii="Noto Sans" w:hAnsi="Noto Sans" w:eastAsia="Noto Sans CJK SC"/>
          <w:sz w:val="20"/>
        </w:rPr>
        <w:t>以 F-ViT 为基线，在 OV-COCO 上 ViT-B/16 novel AP50box 从 17.5 提升到 33.3，ViT-L/14 从 24.7 提升到 39.1。</w:t>
      </w:r>
    </w:p>
    <w:p w14:paraId="231C61D1">
      <w:pPr>
        <w:pStyle w:val="16"/>
        <w:spacing w:after="40"/>
      </w:pPr>
      <w:r>
        <w:rPr>
          <w:rFonts w:ascii="Noto Sans" w:hAnsi="Noto Sans" w:eastAsia="Noto Sans CJK SC"/>
          <w:sz w:val="20"/>
        </w:rPr>
        <w:t>在 OV-LVIS segmentation 中，rare/novel 类别也有明显提升，说明改进 patch-text 对齐后，冻结 ViT backbone 的 dense open-vocabulary 能力更接近 ConvNet backbone。</w:t>
      </w:r>
    </w:p>
    <w:p w14:paraId="5D85EFDF">
      <w:pPr>
        <w:pStyle w:val="5"/>
      </w:pPr>
      <w:r>
        <w:rPr>
          <w:rFonts w:ascii="Noto Sans" w:hAnsi="Noto Sans" w:eastAsia="Noto Sans CJK SC"/>
          <w:b/>
        </w:rPr>
        <w:t>3.3.4 Fully-supervised 与 self-supervised 场景</w:t>
      </w:r>
    </w:p>
    <w:p w14:paraId="0C2EA37F">
      <w:pPr>
        <w:pStyle w:val="16"/>
        <w:spacing w:after="40"/>
      </w:pPr>
      <w:r>
        <w:rPr>
          <w:rFonts w:ascii="Noto Sans" w:hAnsi="Noto Sans" w:eastAsia="Noto Sans CJK SC"/>
          <w:sz w:val="20"/>
        </w:rPr>
        <w:t>在 label-supervised ViT 上，LazyStrike 使原本主要属于自监督模型的“涌现分割能力”也出现：VOC12 coarse segmentation 中 ViT-S/16 supervised 从 29.5 提升到 41.9。</w:t>
      </w:r>
    </w:p>
    <w:p w14:paraId="1B5E02B3">
      <w:pPr>
        <w:pStyle w:val="16"/>
        <w:spacing w:after="40"/>
      </w:pPr>
      <w:r>
        <w:rPr>
          <w:rFonts w:ascii="Noto Sans" w:hAnsi="Noto Sans" w:eastAsia="Noto Sans CJK SC"/>
          <w:sz w:val="20"/>
        </w:rPr>
        <w:t>在 DINO self-supervised object discovery 中，LazyStrike 在 VOC07、VOC12、COCO 上均超过 DINO-seg 与 LOST，且 FPS 为 55.9，高于需要特征分解等操作的基线。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1814"/>
        <w:gridCol w:w="2154"/>
      </w:tblGrid>
      <w:tr w14:paraId="75D2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6CBB8A3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165A175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模型/设置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1184282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w="2154" w:type="dxa"/>
            <w:shd w:val="clear" w:color="auto" w:fill="2F5597"/>
            <w:vAlign w:val="center"/>
          </w:tcPr>
          <w:p w14:paraId="4F4BEE8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备注</w:t>
            </w:r>
          </w:p>
        </w:tc>
      </w:tr>
      <w:tr w14:paraId="4BAA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1BA6EC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Coarse segmentation</w:t>
            </w:r>
          </w:p>
        </w:tc>
        <w:tc>
          <w:tcPr>
            <w:tcW w:w="2835" w:type="dxa"/>
            <w:vAlign w:val="top"/>
          </w:tcPr>
          <w:p w14:paraId="7CDCB99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ViT-B/16 supervised</w:t>
            </w:r>
          </w:p>
        </w:tc>
        <w:tc>
          <w:tcPr>
            <w:tcW w:w="1814" w:type="dxa"/>
            <w:vAlign w:val="top"/>
          </w:tcPr>
          <w:p w14:paraId="6195920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22.3 → 32.8</w:t>
            </w:r>
          </w:p>
        </w:tc>
        <w:tc>
          <w:tcPr>
            <w:tcW w:w="2154" w:type="dxa"/>
            <w:vAlign w:val="top"/>
          </w:tcPr>
          <w:p w14:paraId="1CF04AC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+10.5</w:t>
            </w:r>
          </w:p>
        </w:tc>
      </w:tr>
      <w:tr w14:paraId="5D84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C6FFAC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Coarse segmentation</w:t>
            </w:r>
          </w:p>
        </w:tc>
        <w:tc>
          <w:tcPr>
            <w:tcW w:w="2835" w:type="dxa"/>
            <w:vAlign w:val="top"/>
          </w:tcPr>
          <w:p w14:paraId="22677FF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ViT-S/16 supervised</w:t>
            </w:r>
          </w:p>
        </w:tc>
        <w:tc>
          <w:tcPr>
            <w:tcW w:w="1814" w:type="dxa"/>
            <w:vAlign w:val="top"/>
          </w:tcPr>
          <w:p w14:paraId="0A5D35F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29.5 → 41.9</w:t>
            </w:r>
          </w:p>
        </w:tc>
        <w:tc>
          <w:tcPr>
            <w:tcW w:w="2154" w:type="dxa"/>
            <w:vAlign w:val="top"/>
          </w:tcPr>
          <w:p w14:paraId="21565EF4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+12.4</w:t>
            </w:r>
          </w:p>
        </w:tc>
      </w:tr>
      <w:tr w14:paraId="6316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0F827C5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Coarse segmentation</w:t>
            </w:r>
          </w:p>
        </w:tc>
        <w:tc>
          <w:tcPr>
            <w:tcW w:w="2835" w:type="dxa"/>
            <w:vAlign w:val="top"/>
          </w:tcPr>
          <w:p w14:paraId="59E7ABD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ViT-S/16 DINO</w:t>
            </w:r>
          </w:p>
        </w:tc>
        <w:tc>
          <w:tcPr>
            <w:tcW w:w="1814" w:type="dxa"/>
            <w:vAlign w:val="top"/>
          </w:tcPr>
          <w:p w14:paraId="169A26C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47.7 → 55.1</w:t>
            </w:r>
          </w:p>
        </w:tc>
        <w:tc>
          <w:tcPr>
            <w:tcW w:w="2154" w:type="dxa"/>
            <w:vAlign w:val="top"/>
          </w:tcPr>
          <w:p w14:paraId="30B8783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+7.4</w:t>
            </w:r>
          </w:p>
        </w:tc>
      </w:tr>
      <w:tr w14:paraId="2355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76C851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Object discovery CorLoc</w:t>
            </w:r>
          </w:p>
        </w:tc>
        <w:tc>
          <w:tcPr>
            <w:tcW w:w="2835" w:type="dxa"/>
            <w:vAlign w:val="top"/>
          </w:tcPr>
          <w:p w14:paraId="42EDB66D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DINO + LazyStrike VOC12</w:t>
            </w:r>
          </w:p>
        </w:tc>
        <w:tc>
          <w:tcPr>
            <w:tcW w:w="1814" w:type="dxa"/>
            <w:vAlign w:val="top"/>
          </w:tcPr>
          <w:p w14:paraId="4CE6B28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67.6</w:t>
            </w:r>
          </w:p>
        </w:tc>
        <w:tc>
          <w:tcPr>
            <w:tcW w:w="2154" w:type="dxa"/>
            <w:vAlign w:val="top"/>
          </w:tcPr>
          <w:p w14:paraId="20698F5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优于 LOST 64.0</w:t>
            </w:r>
          </w:p>
        </w:tc>
      </w:tr>
      <w:tr w14:paraId="460A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090B4C7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Object discovery CorLoc</w:t>
            </w:r>
          </w:p>
        </w:tc>
        <w:tc>
          <w:tcPr>
            <w:tcW w:w="2835" w:type="dxa"/>
            <w:vAlign w:val="top"/>
          </w:tcPr>
          <w:p w14:paraId="0AEA090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DINO + LazyStrike COCO</w:t>
            </w:r>
          </w:p>
        </w:tc>
        <w:tc>
          <w:tcPr>
            <w:tcW w:w="1814" w:type="dxa"/>
            <w:vAlign w:val="top"/>
          </w:tcPr>
          <w:p w14:paraId="47C3BE9C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51.6</w:t>
            </w:r>
          </w:p>
        </w:tc>
        <w:tc>
          <w:tcPr>
            <w:tcW w:w="2154" w:type="dxa"/>
            <w:vAlign w:val="top"/>
          </w:tcPr>
          <w:p w14:paraId="0C4FB9D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优于 LOST 50.7</w:t>
            </w:r>
          </w:p>
        </w:tc>
      </w:tr>
    </w:tbl>
    <w:p w14:paraId="00342534"/>
    <w:p w14:paraId="0CD8185E">
      <w:pPr>
        <w:pStyle w:val="5"/>
      </w:pPr>
      <w:r>
        <w:rPr>
          <w:rFonts w:ascii="Noto Sans" w:hAnsi="Noto Sans" w:eastAsia="Noto Sans CJK SC"/>
          <w:b/>
        </w:rPr>
        <w:t>3.3.5 消融结论</w:t>
      </w:r>
    </w:p>
    <w:p w14:paraId="2CA158D6">
      <w:pPr>
        <w:pStyle w:val="16"/>
        <w:spacing w:after="40"/>
      </w:pPr>
      <w:r>
        <w:rPr>
          <w:rFonts w:ascii="Noto Sans" w:hAnsi="Noto Sans" w:eastAsia="Noto Sans CJK SC"/>
          <w:sz w:val="20"/>
        </w:rPr>
        <w:t>Top-K 不是越大越好。K 过小可能损失语义覆盖，K 过大接近 full pooling 又重新引入背景噪声。论文中 text-supervised ViT 在 K 约为半数 token 时表现最好。</w:t>
      </w:r>
    </w:p>
    <w:p w14:paraId="3EF45365">
      <w:pPr>
        <w:pStyle w:val="16"/>
        <w:spacing w:after="40"/>
      </w:pPr>
      <w:r>
        <w:rPr>
          <w:rFonts w:ascii="Noto Sans" w:hAnsi="Noto Sans" w:eastAsia="Noto Sans CJK SC"/>
          <w:sz w:val="20"/>
        </w:rPr>
        <w:t>Max-pool 可以部分缓解背景激活，但不如 LazyStrike，说明改进并非普通 pooling 副作用，而是来自更有效的语义选择。</w:t>
      </w:r>
    </w:p>
    <w:p w14:paraId="3850DB43">
      <w:pPr>
        <w:pStyle w:val="16"/>
        <w:spacing w:after="40"/>
      </w:pPr>
      <w:r>
        <w:rPr>
          <w:rFonts w:ascii="Noto Sans" w:hAnsi="Noto Sans" w:eastAsia="Noto Sans CJK SC"/>
          <w:sz w:val="20"/>
        </w:rPr>
        <w:t>限制全局注意力或增大 patch size 可提高 PiB，但会牺牲分类 accuracy；LaSt-ViT 则尝试在不粗暴破坏全局上下文的情况下修正 CLS 聚合。</w:t>
      </w:r>
    </w:p>
    <w:p w14:paraId="04F9611A">
      <w:pPr>
        <w:pStyle w:val="4"/>
      </w:pPr>
      <w:r>
        <w:rPr>
          <w:rFonts w:ascii="Noto Sans" w:hAnsi="Noto Sans" w:eastAsia="Noto Sans CJK SC"/>
          <w:b/>
        </w:rPr>
        <w:t>3.4 不足与局限</w:t>
      </w:r>
    </w:p>
    <w:p w14:paraId="0F746C98">
      <w:pPr>
        <w:pStyle w:val="16"/>
        <w:spacing w:after="40"/>
      </w:pPr>
      <w:r>
        <w:rPr>
          <w:rFonts w:ascii="Noto Sans" w:hAnsi="Noto Sans" w:eastAsia="Noto Sans CJK SC"/>
          <w:sz w:val="20"/>
        </w:rPr>
        <w:t>前景稳定性假设并非总成立。论文假设前景语义在深层通道上更稳定、背景更高频或更杂乱；但在纹理丰富的目标、背景简单而目标复杂、伪装物体、医学/遥感等场景中可能失效。</w:t>
      </w:r>
    </w:p>
    <w:p w14:paraId="72FCB5E2">
      <w:pPr>
        <w:pStyle w:val="16"/>
        <w:spacing w:after="40"/>
      </w:pPr>
      <w:r>
        <w:rPr>
          <w:rFonts w:ascii="Noto Sans" w:hAnsi="Noto Sans" w:eastAsia="Noto Sans CJK SC"/>
          <w:sz w:val="20"/>
        </w:rPr>
        <w:t>方法依赖 K、低通滤波器等超参数。不同 patch 数、图像分辨率、模型规模和任务可能需要不同 K；K 选择不当会在 foreground coverage 与 background noise 之间失衡。</w:t>
      </w:r>
    </w:p>
    <w:p w14:paraId="20613EED">
      <w:pPr>
        <w:pStyle w:val="16"/>
        <w:spacing w:after="40"/>
      </w:pPr>
      <w:r>
        <w:rPr>
          <w:rFonts w:ascii="Noto Sans" w:hAnsi="Noto Sans" w:eastAsia="Noto Sans CJK SC"/>
          <w:sz w:val="20"/>
        </w:rPr>
        <w:t>主要面向预训练阶段的结构改动。对于已经训练好的大规模 ViT/CLIP/DINO，是否能无训练或轻量微调地修复 artifacts，论文并未作为主线解决。</w:t>
      </w:r>
    </w:p>
    <w:p w14:paraId="40CD40DF">
      <w:pPr>
        <w:pStyle w:val="16"/>
        <w:spacing w:after="40"/>
      </w:pPr>
      <w:r>
        <w:rPr>
          <w:rFonts w:ascii="Noto Sans" w:hAnsi="Noto Sans" w:eastAsia="Noto Sans CJK SC"/>
          <w:sz w:val="20"/>
        </w:rPr>
        <w:t>PiB 是有用但简化的诊断指标。它只看最高分 patch 是否落入单目标 box，不能完整评价多目标图像、细粒度部件、非矩形前景、显著背景上下文或关系理解。</w:t>
      </w:r>
    </w:p>
    <w:p w14:paraId="14BB5624">
      <w:pPr>
        <w:pStyle w:val="16"/>
        <w:spacing w:after="40"/>
      </w:pPr>
      <w:r>
        <w:rPr>
          <w:rFonts w:ascii="Noto Sans" w:hAnsi="Noto Sans" w:eastAsia="Noto Sans CJK SC"/>
          <w:sz w:val="20"/>
        </w:rPr>
        <w:t>实验集中在 ImageNet、VOC、COCO、ADE20K、Cityscapes 等常见视觉数据。对长尾类别、开放世界、视频、多模态大模型视觉编码器中的实际收益，还需要进一步验证。</w:t>
      </w:r>
    </w:p>
    <w:p w14:paraId="7E10B5FA">
      <w:pPr>
        <w:pStyle w:val="16"/>
        <w:spacing w:after="40"/>
      </w:pPr>
      <w:r>
        <w:rPr>
          <w:rFonts w:ascii="Noto Sans" w:hAnsi="Noto Sans" w:eastAsia="Noto Sans CJK SC"/>
          <w:sz w:val="20"/>
        </w:rPr>
        <w:t>理论解释还偏经验。lazy aggregation 的证据很强，但“为什么 FFT 通道低通稳定性就是前景选择的最佳代理”仍缺少严格理论推导。</w:t>
      </w:r>
    </w:p>
    <w:p w14:paraId="1D9CC996">
      <w:pPr>
        <w:pStyle w:val="4"/>
      </w:pPr>
      <w:r>
        <w:rPr>
          <w:rFonts w:ascii="Noto Sans" w:hAnsi="Noto Sans" w:eastAsia="Noto Sans CJK SC"/>
          <w:b/>
        </w:rPr>
        <w:t>3.5 可借鉴点与后续方向</w:t>
      </w:r>
    </w:p>
    <w:p w14:paraId="716EB090">
      <w:pPr>
        <w:pStyle w:val="16"/>
        <w:spacing w:after="40"/>
      </w:pPr>
      <w:r>
        <w:rPr>
          <w:rFonts w:ascii="Noto Sans" w:hAnsi="Noto Sans" w:eastAsia="Noto Sans CJK SC"/>
          <w:sz w:val="20"/>
        </w:rPr>
        <w:t>该文的贡献不只是一种 pooling 技巧，更重要的是提出了统一诊断框架：Patch Score + PiB 可用于比较 label/text/self-supervised ViT 的 dense feature 质量。</w:t>
      </w:r>
    </w:p>
    <w:p w14:paraId="1902EC75">
      <w:pPr>
        <w:pStyle w:val="16"/>
        <w:spacing w:after="40"/>
      </w:pPr>
      <w:r>
        <w:rPr>
          <w:rFonts w:ascii="Noto Sans" w:hAnsi="Noto Sans" w:eastAsia="Noto Sans CJK SC"/>
          <w:sz w:val="20"/>
        </w:rPr>
        <w:t>可扩展到 CLIP 视觉编码器改造：若研究开放词汇分割、检测、多模态 grounding，应重点关注 patch-text alignment，而不是只看图像级 zero-shot accuracy。</w:t>
      </w:r>
    </w:p>
    <w:p w14:paraId="1894598F">
      <w:pPr>
        <w:pStyle w:val="16"/>
        <w:spacing w:after="40"/>
      </w:pPr>
      <w:r>
        <w:rPr>
          <w:rFonts w:ascii="Noto Sans" w:hAnsi="Noto Sans" w:eastAsia="Noto Sans CJK SC"/>
          <w:sz w:val="20"/>
        </w:rPr>
        <w:t>可与 register tokens、mask/image-level joint supervision、localized attention、token pruning、object-centric pretraining 联合，构建更强的 dense-friendly ViT。</w:t>
      </w:r>
    </w:p>
    <w:p w14:paraId="4675EA64">
      <w:pPr>
        <w:pStyle w:val="16"/>
        <w:spacing w:after="40"/>
      </w:pPr>
      <w:r>
        <w:rPr>
          <w:rFonts w:ascii="Noto Sans" w:hAnsi="Noto Sans" w:eastAsia="Noto Sans CJK SC"/>
          <w:sz w:val="20"/>
        </w:rPr>
        <w:t>后续可以研究自适应 K、区域级动态选择、多目标 CLS、多尺度 token 选择，减少对固定 Top-K 的依赖。</w:t>
      </w:r>
    </w:p>
    <w:p w14:paraId="528269A4">
      <w:pPr>
        <w:pStyle w:val="16"/>
        <w:spacing w:after="40"/>
      </w:pPr>
      <w:r>
        <w:rPr>
          <w:rFonts w:ascii="Noto Sans" w:hAnsi="Noto Sans" w:eastAsia="Noto Sans CJK SC"/>
          <w:sz w:val="20"/>
        </w:rPr>
        <w:t>汇报时可强调：“Registers 解决的是症状之一，LaSt-ViT 试图解决背景 shortcut 这个病因。”</w:t>
      </w:r>
    </w:p>
    <w:p w14:paraId="24D4ED47">
      <w:r>
        <w:br w:type="page"/>
      </w:r>
    </w:p>
    <w:p w14:paraId="4606E815">
      <w:pPr>
        <w:pStyle w:val="3"/>
      </w:pPr>
      <w:r>
        <w:rPr>
          <w:rFonts w:ascii="Noto Sans" w:hAnsi="Noto Sans" w:eastAsia="Noto Sans CJK SC"/>
          <w:b/>
        </w:rPr>
        <w:t>四、两篇论文对比与汇报建议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76EA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0DC973C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shd w:val="clear" w:color="auto" w:fill="2F5597"/>
            <w:vAlign w:val="center"/>
          </w:tcPr>
          <w:p w14:paraId="1D32B2C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结论</w:t>
            </w:r>
          </w:p>
        </w:tc>
      </w:tr>
      <w:tr w14:paraId="4B12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vAlign w:val="top"/>
          </w:tcPr>
          <w:p w14:paraId="4F186D66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共同关键词</w:t>
            </w:r>
          </w:p>
        </w:tc>
        <w:tc>
          <w:tcPr>
            <w:tcW w:w="6520" w:type="dxa"/>
            <w:vAlign w:val="top"/>
          </w:tcPr>
          <w:p w14:paraId="7CDBC008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选择性聚合、信息路由、避免无差别累积、提高表征可用性</w:t>
            </w:r>
          </w:p>
        </w:tc>
      </w:tr>
      <w:tr w14:paraId="663C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BF3A8FF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Attention Residuals 适合强调</w:t>
            </w:r>
          </w:p>
        </w:tc>
        <w:tc>
          <w:tcPr>
            <w:tcW w:w="6520" w:type="dxa"/>
            <w:vAlign w:val="top"/>
          </w:tcPr>
          <w:p w14:paraId="6ACBEEA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深度维度的信息流；PreNorm dilution；LLM scaling law；系统可部署的 Block AttnRes</w:t>
            </w:r>
          </w:p>
        </w:tc>
      </w:tr>
      <w:tr w14:paraId="6AB2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9D1959B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LaSt-ViT 适合强调</w:t>
            </w:r>
          </w:p>
        </w:tc>
        <w:tc>
          <w:tcPr>
            <w:tcW w:w="6520" w:type="dxa"/>
            <w:vAlign w:val="top"/>
          </w:tcPr>
          <w:p w14:paraId="5F60E4F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空间 token 维度的背景捷径；ViT dense-feature artifacts；Patch Score/PiB 诊断；“more than registers”的机制解释</w:t>
            </w:r>
          </w:p>
        </w:tc>
      </w:tr>
      <w:tr w14:paraId="0A70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956F05A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两者最大差异</w:t>
            </w:r>
          </w:p>
        </w:tc>
        <w:tc>
          <w:tcPr>
            <w:tcW w:w="6520" w:type="dxa"/>
            <w:vAlign w:val="top"/>
          </w:tcPr>
          <w:p w14:paraId="25375863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AttnRes 是面向 LLM/Transformer depth 的结构替代；LaSt-ViT 是面向 ViT CLS-patch 聚合的训练期选择性 pooling。</w:t>
            </w:r>
          </w:p>
        </w:tc>
      </w:tr>
      <w:tr w14:paraId="4F44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2A7B671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可作为综述主线</w:t>
            </w:r>
          </w:p>
        </w:tc>
        <w:tc>
          <w:tcPr>
            <w:tcW w:w="6520" w:type="dxa"/>
            <w:vAlign w:val="top"/>
          </w:tcPr>
          <w:p w14:paraId="7DE29F70">
            <w:pPr>
              <w:spacing w:after="0" w:line="240" w:lineRule="auto"/>
              <w:jc w:val="left"/>
            </w:pPr>
            <w:r>
              <w:rPr>
                <w:rFonts w:ascii="Noto Sans" w:hAnsi="Noto Sans" w:eastAsia="Noto Sans CJK SC"/>
                <w:b w:val="0"/>
                <w:sz w:val="17"/>
              </w:rPr>
              <w:t>Transformer 的聚合机制正在从固定结构走向内容相关和任务相关：sequence attention、depth attention、patch selective aggregation 都属于同一趋势。</w:t>
            </w:r>
          </w:p>
        </w:tc>
      </w:tr>
    </w:tbl>
    <w:p w14:paraId="5BBDECBB"/>
    <w:p w14:paraId="49634594">
      <w:pPr>
        <w:pStyle w:val="4"/>
      </w:pPr>
      <w:r>
        <w:rPr>
          <w:rFonts w:ascii="Noto Sans" w:hAnsi="Noto Sans" w:eastAsia="Noto Sans CJK SC"/>
          <w:b/>
        </w:rPr>
        <w:t>汇报时建议采用的逻辑</w:t>
      </w:r>
    </w:p>
    <w:p w14:paraId="615B9608">
      <w:pPr>
        <w:pStyle w:val="14"/>
        <w:spacing w:after="40"/>
      </w:pPr>
      <w:r>
        <w:rPr>
          <w:rFonts w:ascii="Noto Sans" w:hAnsi="Noto Sans" w:eastAsia="Noto Sans CJK SC"/>
          <w:sz w:val="20"/>
        </w:rPr>
        <w:t>先提出共同问题：Transformer 很强，但很多关键位置仍使用默认聚合。例如 residual stream 默认相加、CLS 默认从 patch 中汇总。</w:t>
      </w:r>
    </w:p>
    <w:p w14:paraId="52DC5162">
      <w:pPr>
        <w:pStyle w:val="14"/>
        <w:spacing w:after="40"/>
      </w:pPr>
      <w:r>
        <w:rPr>
          <w:rFonts w:ascii="Noto Sans" w:hAnsi="Noto Sans" w:eastAsia="Noto Sans CJK SC"/>
          <w:sz w:val="20"/>
        </w:rPr>
        <w:t>再讲 Attention Residuals：默认 residual sum 导致深度稀释，因此用 depth-wise softmax attention 选择历史层输出。</w:t>
      </w:r>
    </w:p>
    <w:p w14:paraId="6C7ADDB9">
      <w:pPr>
        <w:pStyle w:val="14"/>
        <w:spacing w:after="40"/>
      </w:pPr>
      <w:r>
        <w:rPr>
          <w:rFonts w:ascii="Noto Sans" w:hAnsi="Noto Sans" w:eastAsia="Noto Sans CJK SC"/>
          <w:sz w:val="20"/>
        </w:rPr>
        <w:t>再讲 LaSt-ViT：默认 CLS/patch 聚合导致背景 shortcut，因此用频率稳定性和 Top-K 聚合选择前景 token。</w:t>
      </w:r>
    </w:p>
    <w:p w14:paraId="14B3C222">
      <w:pPr>
        <w:pStyle w:val="14"/>
        <w:spacing w:after="40"/>
      </w:pPr>
      <w:r>
        <w:rPr>
          <w:rFonts w:ascii="Noto Sans" w:hAnsi="Noto Sans" w:eastAsia="Noto Sans CJK SC"/>
          <w:sz w:val="20"/>
        </w:rPr>
        <w:t>最后总结趋势：模型结构不再只追求“更大/更深/更多数据”，而是在基础路径上加入可学习的信息选择机制。</w:t>
      </w:r>
    </w:p>
    <w:p w14:paraId="26BDB6FB">
      <w:pPr>
        <w:pStyle w:val="4"/>
      </w:pPr>
      <w:r>
        <w:rPr>
          <w:rFonts w:ascii="Noto Sans" w:hAnsi="Noto Sans" w:eastAsia="Noto Sans CJK SC"/>
          <w:b/>
        </w:rPr>
        <w:t>可直接用于汇报的 3 句话</w:t>
      </w:r>
    </w:p>
    <w:p w14:paraId="04265259">
      <w:pPr>
        <w:pStyle w:val="16"/>
        <w:spacing w:after="40"/>
      </w:pPr>
      <w:r>
        <w:rPr>
          <w:rFonts w:ascii="Noto Sans" w:hAnsi="Noto Sans" w:eastAsia="Noto Sans CJK SC"/>
          <w:sz w:val="20"/>
        </w:rPr>
        <w:t>Attention Residuals 的核心不是增加普通 attention，而是把残差连接本身改造成 depth-wise attention，让每一层有能力选择性读取此前层的输出。</w:t>
      </w:r>
    </w:p>
    <w:p w14:paraId="1B0D2812">
      <w:pPr>
        <w:pStyle w:val="16"/>
        <w:spacing w:after="40"/>
      </w:pPr>
      <w:r>
        <w:rPr>
          <w:rFonts w:ascii="Noto Sans" w:hAnsi="Noto Sans" w:eastAsia="Noto Sans CJK SC"/>
          <w:sz w:val="20"/>
        </w:rPr>
        <w:t>Vision Transformers Need More Than Registers 的核心不是再加一些寄存器 token，而是指出 ViT dense artifacts 的根源是图像级监督和全局注意力共同诱发的背景 lazy aggregation。</w:t>
      </w:r>
    </w:p>
    <w:p w14:paraId="3A779789">
      <w:pPr>
        <w:pStyle w:val="16"/>
        <w:spacing w:after="40"/>
      </w:pPr>
      <w:r>
        <w:rPr>
          <w:rFonts w:ascii="Noto Sans" w:hAnsi="Noto Sans" w:eastAsia="Noto Sans CJK SC"/>
          <w:sz w:val="20"/>
        </w:rPr>
        <w:t>两篇论文共同说明：Transformer 的很多问题并非来自主干模块不够强，而是来自信息聚合路径过于固定或过于懒惰。</w:t>
      </w:r>
    </w:p>
    <w:p w14:paraId="3FF0686E">
      <w:pPr>
        <w:pStyle w:val="4"/>
      </w:pPr>
      <w:r>
        <w:rPr>
          <w:rFonts w:ascii="Noto Sans" w:hAnsi="Noto Sans" w:eastAsia="Noto Sans CJK SC"/>
          <w:b/>
        </w:rPr>
        <w:t>建议重点追问的问题</w:t>
      </w:r>
    </w:p>
    <w:p w14:paraId="1CE0CB6B">
      <w:pPr>
        <w:pStyle w:val="16"/>
        <w:spacing w:after="40"/>
      </w:pPr>
      <w:r>
        <w:rPr>
          <w:rFonts w:ascii="Noto Sans" w:hAnsi="Noto Sans" w:eastAsia="Noto Sans CJK SC"/>
          <w:sz w:val="20"/>
        </w:rPr>
        <w:t>Attention Residuals 中，depth-wise attention 的 attention sink 是否可解释？是否能和任务类型、层功能或专家路由对应起来？</w:t>
      </w:r>
    </w:p>
    <w:p w14:paraId="7A146D22">
      <w:pPr>
        <w:pStyle w:val="16"/>
        <w:spacing w:after="40"/>
      </w:pPr>
      <w:r>
        <w:rPr>
          <w:rFonts w:ascii="Noto Sans" w:hAnsi="Noto Sans" w:eastAsia="Noto Sans CJK SC"/>
          <w:sz w:val="20"/>
        </w:rPr>
        <w:t>Block AttnRes 的最优 block 数是否随模型深度线性变化？更深模型是否需要更多 block？</w:t>
      </w:r>
    </w:p>
    <w:p w14:paraId="440BA98D">
      <w:pPr>
        <w:pStyle w:val="16"/>
        <w:spacing w:after="40"/>
      </w:pPr>
      <w:r>
        <w:rPr>
          <w:rFonts w:ascii="Noto Sans" w:hAnsi="Noto Sans" w:eastAsia="Noto Sans CJK SC"/>
          <w:sz w:val="20"/>
        </w:rPr>
        <w:t>LaSt-ViT 的低通稳定性是否对所有图像分布都有效？是否有更语义化的 token selection criterion？</w:t>
      </w:r>
    </w:p>
    <w:p w14:paraId="574AEFA4">
      <w:pPr>
        <w:pStyle w:val="16"/>
        <w:spacing w:after="40"/>
      </w:pPr>
      <w:r>
        <w:rPr>
          <w:rFonts w:ascii="Noto Sans" w:hAnsi="Noto Sans" w:eastAsia="Noto Sans CJK SC"/>
          <w:sz w:val="20"/>
        </w:rPr>
        <w:t>如果把 Attention Residuals 的 depth-wise selection 与 LaSt-ViT 的 patch-wise selection 放在同一个视觉语言模型中，是否能同时改善全局推理和 dense grounding？</w:t>
      </w:r>
    </w:p>
    <w:p w14:paraId="48D08311">
      <w:pPr>
        <w:pStyle w:val="16"/>
        <w:spacing w:after="40"/>
      </w:pPr>
      <w:r>
        <w:rPr>
          <w:rFonts w:ascii="Noto Sans" w:hAnsi="Noto Sans" w:eastAsia="Noto Sans CJK SC"/>
          <w:sz w:val="20"/>
        </w:rPr>
        <w:t>这类选择性聚合是否会降低模型对上下文、背景线索或长程依赖的利用能力？如何避免过度前景化或过度稀疏化？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7DB46">
    <w:pPr>
      <w:pStyle w:val="24"/>
      <w:jc w:val="center"/>
    </w:pPr>
    <w:r>
      <w:rPr>
        <w:rFonts w:ascii="Noto Sans" w:hAnsi="Noto Sans" w:eastAsia="Noto Sans CJK SC"/>
        <w:color w:val="888888"/>
        <w:sz w:val="16"/>
      </w:rPr>
      <w:t>供论文汇报、开题/综述整理使用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10F22">
    <w:pPr>
      <w:pStyle w:val="25"/>
      <w:jc w:val="center"/>
    </w:pPr>
    <w:r>
      <w:rPr>
        <w:rFonts w:ascii="Noto Sans" w:hAnsi="Noto Sans" w:eastAsia="Noto Sans CJK SC"/>
        <w:color w:val="666666"/>
        <w:sz w:val="18"/>
      </w:rPr>
      <w:t>两篇重点论文精读报告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1E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" w:hAnsi="Noto Sans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" w:hAnsi="Noto Sans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" w:hAnsi="Noto Sans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" w:hAnsi="Noto Sans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" w:hAnsi="Noto Sans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1975</Words>
  <Characters>3468</Characters>
  <Lines>0</Lines>
  <Paragraphs>0</Paragraphs>
  <TotalTime>0</TotalTime>
  <ScaleCrop>false</ScaleCrop>
  <LinksUpToDate>false</LinksUpToDate>
  <CharactersWithSpaces>3814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Attention Residuals; LaSt-ViT; LazyStrike; ViT; residual connections; selective aggregation</cp:keywords>
  <cp:lastModifiedBy>张峻祎</cp:lastModifiedBy>
  <dcterms:modified xsi:type="dcterms:W3CDTF">2026-05-21T02:24:38Z</dcterms:modified>
  <dc:subject>论文精读；研究现状；新方法；不足与局限</dc:subject>
  <dc:title>两篇重点论文精读报告：Attention Residuals 与 Vision Transformers Need More Than Registers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38E9F8627297447A99510BC5B4834489_13</vt:lpwstr>
  </property>
</Properties>
</file>