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DE723">
      <w:pPr>
        <w:pStyle w:val="3"/>
      </w:pPr>
      <w:bookmarkStart w:id="0" w:name="_GoBack"/>
      <w:r>
        <w:t>IV. EXPERIMENTS</w:t>
      </w:r>
    </w:p>
    <w:p w14:paraId="44BD575A">
      <w:pPr>
        <w:pStyle w:val="4"/>
      </w:pPr>
      <w:r>
        <w:t>A. Experimental Setup</w:t>
      </w:r>
    </w:p>
    <w:p w14:paraId="4F99F3DD">
      <w:pPr>
        <w:pStyle w:val="19"/>
        <w:spacing w:after="80"/>
      </w:pPr>
      <w:r>
        <w:rPr>
          <w:rFonts w:ascii="Times New Roman" w:hAnsi="Times New Roman"/>
          <w:b w:val="0"/>
          <w:i w:val="0"/>
          <w:sz w:val="20"/>
        </w:rPr>
        <w:t>We evaluate DAFB-CLS on two tasks — unsupervised object discovery and open-vocabulary segmentation — across two standard benchmarks. Systematic ablation studies and stress tests validate each design choice and characterize failure modes.</w:t>
      </w:r>
    </w:p>
    <w:p w14:paraId="71F41C1E">
      <w:pPr>
        <w:pStyle w:val="5"/>
      </w:pPr>
      <w:r>
        <w:t>Datasets</w:t>
      </w:r>
    </w:p>
    <w:p w14:paraId="10F55388">
      <w:pPr>
        <w:pStyle w:val="19"/>
        <w:spacing w:after="80"/>
      </w:pPr>
      <w:r>
        <w:rPr>
          <w:rFonts w:ascii="Times New Roman" w:hAnsi="Times New Roman"/>
          <w:b w:val="0"/>
          <w:i w:val="0"/>
          <w:sz w:val="20"/>
        </w:rPr>
        <w:t>We use two benchmarks. PASCAL VOC 2012 [1] provides 1,449 validation images across 20 object categories, serving as the de facto standard for unsupervised object discovery. MS COCO 2017 [2] contributes 4,952 validation images across 80 categories, enabling large-scale cross-dataset generalization assessment. For open-vocabulary segmentation with OpenCLIP, we use the VOC 2012 segmentation split with 21 classes (including background).</w:t>
      </w:r>
    </w:p>
    <w:p w14:paraId="5B2BB3CA">
      <w:pPr>
        <w:pStyle w:val="5"/>
      </w:pPr>
      <w:r>
        <w:t>Metrics</w:t>
      </w:r>
    </w:p>
    <w:p w14:paraId="316B53AB">
      <w:pPr>
        <w:pStyle w:val="19"/>
        <w:spacing w:after="80"/>
      </w:pPr>
      <w:r>
        <w:rPr>
          <w:rFonts w:ascii="Times New Roman" w:hAnsi="Times New Roman"/>
          <w:b w:val="0"/>
          <w:i w:val="0"/>
          <w:sz w:val="20"/>
        </w:rPr>
        <w:t>We adopt four complementary metrics. ↑ denotes higher is better.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650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999999" w:sz="4" w:space="0"/>
              <w:left w:val="nil"/>
              <w:bottom w:val="single" w:color="999999" w:sz="4" w:space="0"/>
              <w:right w:val="nil"/>
            </w:tcBorders>
            <w:shd w:val="clear" w:color="auto" w:fill="E8E8E8"/>
          </w:tcPr>
          <w:p w14:paraId="4A66BC02">
            <w:pPr>
              <w:jc w:val="center"/>
            </w:pPr>
            <w:r>
              <w:rPr>
                <w:rFonts w:ascii="Times New Roman" w:hAnsi="Times New Roman"/>
                <w:b/>
                <w:sz w:val="17"/>
              </w:rPr>
              <w:t>Metric</w:t>
            </w:r>
          </w:p>
        </w:tc>
        <w:tc>
          <w:tcPr>
            <w:tcW w:w="2160" w:type="dxa"/>
            <w:tcBorders>
              <w:top w:val="single" w:color="999999" w:sz="4" w:space="0"/>
              <w:left w:val="nil"/>
              <w:bottom w:val="single" w:color="999999" w:sz="4" w:space="0"/>
              <w:right w:val="nil"/>
            </w:tcBorders>
            <w:shd w:val="clear" w:color="auto" w:fill="E8E8E8"/>
          </w:tcPr>
          <w:p w14:paraId="1E088D11">
            <w:pPr>
              <w:jc w:val="center"/>
            </w:pPr>
            <w:r>
              <w:rPr>
                <w:rFonts w:ascii="Times New Roman" w:hAnsi="Times New Roman"/>
                <w:b/>
                <w:sz w:val="17"/>
              </w:rPr>
              <w:t>Direction</w:t>
            </w:r>
          </w:p>
        </w:tc>
        <w:tc>
          <w:tcPr>
            <w:tcW w:w="2160" w:type="dxa"/>
            <w:tcBorders>
              <w:top w:val="single" w:color="999999" w:sz="4" w:space="0"/>
              <w:left w:val="nil"/>
              <w:bottom w:val="single" w:color="999999" w:sz="4" w:space="0"/>
              <w:right w:val="nil"/>
            </w:tcBorders>
            <w:shd w:val="clear" w:color="auto" w:fill="E8E8E8"/>
          </w:tcPr>
          <w:p w14:paraId="2DB67532">
            <w:pPr>
              <w:jc w:val="center"/>
            </w:pPr>
            <w:r>
              <w:rPr>
                <w:rFonts w:ascii="Times New Roman" w:hAnsi="Times New Roman"/>
                <w:b/>
                <w:sz w:val="17"/>
              </w:rPr>
              <w:t>Definition</w:t>
            </w:r>
          </w:p>
        </w:tc>
        <w:tc>
          <w:tcPr>
            <w:tcW w:w="2160" w:type="dxa"/>
            <w:tcBorders>
              <w:top w:val="single" w:color="999999" w:sz="4" w:space="0"/>
              <w:left w:val="nil"/>
              <w:bottom w:val="single" w:color="999999" w:sz="4" w:space="0"/>
              <w:right w:val="nil"/>
            </w:tcBorders>
            <w:shd w:val="clear" w:color="auto" w:fill="E8E8E8"/>
          </w:tcPr>
          <w:p w14:paraId="47D68DFE">
            <w:pPr>
              <w:jc w:val="center"/>
            </w:pPr>
            <w:r>
              <w:rPr>
                <w:rFonts w:ascii="Times New Roman" w:hAnsi="Times New Roman"/>
                <w:b/>
                <w:sz w:val="17"/>
              </w:rPr>
              <w:t>What it measures</w:t>
            </w:r>
          </w:p>
        </w:tc>
      </w:tr>
      <w:tr w14:paraId="47930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999999" w:sz="4" w:space="0"/>
              <w:left w:val="nil"/>
              <w:bottom w:val="single" w:color="999999" w:sz="4" w:space="0"/>
              <w:right w:val="nil"/>
            </w:tcBorders>
          </w:tcPr>
          <w:p w14:paraId="52704F1B">
            <w:pPr>
              <w:jc w:val="left"/>
            </w:pPr>
            <w:r>
              <w:rPr>
                <w:rFonts w:ascii="Times New Roman" w:hAnsi="Times New Roman"/>
                <w:sz w:val="17"/>
              </w:rPr>
              <w:t>CorLoc</w:t>
            </w:r>
          </w:p>
        </w:tc>
        <w:tc>
          <w:tcPr>
            <w:tcW w:w="2160" w:type="dxa"/>
            <w:tcBorders>
              <w:top w:val="single" w:color="999999" w:sz="4" w:space="0"/>
              <w:left w:val="nil"/>
              <w:bottom w:val="single" w:color="999999" w:sz="4" w:space="0"/>
              <w:right w:val="nil"/>
            </w:tcBorders>
          </w:tcPr>
          <w:p w14:paraId="622F7DDF">
            <w:pPr>
              <w:jc w:val="center"/>
            </w:pPr>
            <w:r>
              <w:rPr>
                <w:rFonts w:ascii="Times New Roman" w:hAnsi="Times New Roman"/>
                <w:sz w:val="17"/>
              </w:rPr>
              <w:t>↑</w:t>
            </w:r>
          </w:p>
        </w:tc>
        <w:tc>
          <w:tcPr>
            <w:tcW w:w="2160" w:type="dxa"/>
            <w:tcBorders>
              <w:top w:val="single" w:color="999999" w:sz="4" w:space="0"/>
              <w:left w:val="nil"/>
              <w:bottom w:val="single" w:color="999999" w:sz="4" w:space="0"/>
              <w:right w:val="nil"/>
            </w:tcBorders>
          </w:tcPr>
          <w:p w14:paraId="3970A4E0">
            <w:pPr>
              <w:jc w:val="center"/>
            </w:pPr>
            <w:r>
              <w:rPr>
                <w:rFonts w:ascii="Times New Roman" w:hAnsi="Times New Roman"/>
                <w:sz w:val="17"/>
              </w:rPr>
              <w:t>Fraction of images where center-of-mass of predicted foreground patches falls inside any GT bounding box</w:t>
            </w:r>
          </w:p>
        </w:tc>
        <w:tc>
          <w:tcPr>
            <w:tcW w:w="2160" w:type="dxa"/>
            <w:tcBorders>
              <w:top w:val="single" w:color="999999" w:sz="4" w:space="0"/>
              <w:left w:val="nil"/>
              <w:bottom w:val="single" w:color="999999" w:sz="4" w:space="0"/>
              <w:right w:val="nil"/>
            </w:tcBorders>
          </w:tcPr>
          <w:p w14:paraId="36C37423">
            <w:pPr>
              <w:jc w:val="center"/>
            </w:pPr>
            <w:r>
              <w:rPr>
                <w:rFonts w:ascii="Times New Roman" w:hAnsi="Times New Roman"/>
                <w:sz w:val="17"/>
              </w:rPr>
              <w:t>Coarse spatial localization</w:t>
            </w:r>
          </w:p>
        </w:tc>
      </w:tr>
      <w:tr w14:paraId="00C2D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999999" w:sz="4" w:space="0"/>
              <w:left w:val="nil"/>
              <w:bottom w:val="single" w:color="999999" w:sz="4" w:space="0"/>
              <w:right w:val="nil"/>
            </w:tcBorders>
          </w:tcPr>
          <w:p w14:paraId="41392E99">
            <w:pPr>
              <w:jc w:val="left"/>
            </w:pPr>
            <w:r>
              <w:rPr>
                <w:rFonts w:ascii="Times New Roman" w:hAnsi="Times New Roman"/>
                <w:sz w:val="17"/>
              </w:rPr>
              <w:t>Mask IoU</w:t>
            </w:r>
          </w:p>
        </w:tc>
        <w:tc>
          <w:tcPr>
            <w:tcW w:w="2160" w:type="dxa"/>
            <w:tcBorders>
              <w:top w:val="single" w:color="999999" w:sz="4" w:space="0"/>
              <w:left w:val="nil"/>
              <w:bottom w:val="single" w:color="999999" w:sz="4" w:space="0"/>
              <w:right w:val="nil"/>
            </w:tcBorders>
          </w:tcPr>
          <w:p w14:paraId="66E16648">
            <w:pPr>
              <w:jc w:val="center"/>
            </w:pPr>
            <w:r>
              <w:rPr>
                <w:rFonts w:ascii="Times New Roman" w:hAnsi="Times New Roman"/>
                <w:sz w:val="17"/>
              </w:rPr>
              <w:t>↑</w:t>
            </w:r>
          </w:p>
        </w:tc>
        <w:tc>
          <w:tcPr>
            <w:tcW w:w="2160" w:type="dxa"/>
            <w:tcBorders>
              <w:top w:val="single" w:color="999999" w:sz="4" w:space="0"/>
              <w:left w:val="nil"/>
              <w:bottom w:val="single" w:color="999999" w:sz="4" w:space="0"/>
              <w:right w:val="nil"/>
            </w:tcBorders>
          </w:tcPr>
          <w:p w14:paraId="7D819861">
            <w:pPr>
              <w:jc w:val="center"/>
            </w:pPr>
            <w:r>
              <w:rPr>
                <w:rFonts w:ascii="Times New Roman" w:hAnsi="Times New Roman"/>
                <w:sz w:val="17"/>
              </w:rPr>
              <w:t>IoU between binarized predicted foreground mask and GT segmentation mask, averaged over all images</w:t>
            </w:r>
          </w:p>
        </w:tc>
        <w:tc>
          <w:tcPr>
            <w:tcW w:w="2160" w:type="dxa"/>
            <w:tcBorders>
              <w:top w:val="single" w:color="999999" w:sz="4" w:space="0"/>
              <w:left w:val="nil"/>
              <w:bottom w:val="single" w:color="999999" w:sz="4" w:space="0"/>
              <w:right w:val="nil"/>
            </w:tcBorders>
          </w:tcPr>
          <w:p w14:paraId="5C067C47">
            <w:pPr>
              <w:jc w:val="center"/>
            </w:pPr>
            <w:r>
              <w:rPr>
                <w:rFonts w:ascii="Times New Roman" w:hAnsi="Times New Roman"/>
                <w:sz w:val="17"/>
              </w:rPr>
              <w:t>Spatial mask precision</w:t>
            </w:r>
          </w:p>
        </w:tc>
      </w:tr>
      <w:tr w14:paraId="7A7D5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999999" w:sz="4" w:space="0"/>
              <w:left w:val="nil"/>
              <w:bottom w:val="single" w:color="999999" w:sz="4" w:space="0"/>
              <w:right w:val="nil"/>
            </w:tcBorders>
          </w:tcPr>
          <w:p w14:paraId="51572071">
            <w:pPr>
              <w:jc w:val="left"/>
            </w:pPr>
            <w:r>
              <w:rPr>
                <w:rFonts w:ascii="Times New Roman" w:hAnsi="Times New Roman"/>
                <w:sz w:val="17"/>
              </w:rPr>
              <w:t>PiB</w:t>
            </w:r>
          </w:p>
        </w:tc>
        <w:tc>
          <w:tcPr>
            <w:tcW w:w="2160" w:type="dxa"/>
            <w:tcBorders>
              <w:top w:val="single" w:color="999999" w:sz="4" w:space="0"/>
              <w:left w:val="nil"/>
              <w:bottom w:val="single" w:color="999999" w:sz="4" w:space="0"/>
              <w:right w:val="nil"/>
            </w:tcBorders>
          </w:tcPr>
          <w:p w14:paraId="6B5B68BF">
            <w:pPr>
              <w:jc w:val="center"/>
            </w:pPr>
            <w:r>
              <w:rPr>
                <w:rFonts w:ascii="Times New Roman" w:hAnsi="Times New Roman"/>
                <w:sz w:val="17"/>
              </w:rPr>
              <w:t>↑</w:t>
            </w:r>
          </w:p>
        </w:tc>
        <w:tc>
          <w:tcPr>
            <w:tcW w:w="2160" w:type="dxa"/>
            <w:tcBorders>
              <w:top w:val="single" w:color="999999" w:sz="4" w:space="0"/>
              <w:left w:val="nil"/>
              <w:bottom w:val="single" w:color="999999" w:sz="4" w:space="0"/>
              <w:right w:val="nil"/>
            </w:tcBorders>
          </w:tcPr>
          <w:p w14:paraId="296C9AFC">
            <w:pPr>
              <w:jc w:val="center"/>
            </w:pPr>
            <w:r>
              <w:rPr>
                <w:rFonts w:ascii="Times New Roman" w:hAnsi="Times New Roman"/>
                <w:sz w:val="17"/>
              </w:rPr>
              <w:t>Fraction of images where the highest-CLS-similarity patch lies inside an annotated foreground box</w:t>
            </w:r>
          </w:p>
        </w:tc>
        <w:tc>
          <w:tcPr>
            <w:tcW w:w="2160" w:type="dxa"/>
            <w:tcBorders>
              <w:top w:val="single" w:color="999999" w:sz="4" w:space="0"/>
              <w:left w:val="nil"/>
              <w:bottom w:val="single" w:color="999999" w:sz="4" w:space="0"/>
              <w:right w:val="nil"/>
            </w:tcBorders>
          </w:tcPr>
          <w:p w14:paraId="34D4EA12">
            <w:pPr>
              <w:jc w:val="center"/>
            </w:pPr>
            <w:r>
              <w:rPr>
                <w:rFonts w:ascii="Times New Roman" w:hAnsi="Times New Roman"/>
                <w:sz w:val="17"/>
              </w:rPr>
              <w:t>Fine-grained localization</w:t>
            </w:r>
          </w:p>
        </w:tc>
      </w:tr>
      <w:tr w14:paraId="11A8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999999" w:sz="4" w:space="0"/>
              <w:left w:val="nil"/>
              <w:bottom w:val="single" w:color="999999" w:sz="4" w:space="0"/>
              <w:right w:val="nil"/>
            </w:tcBorders>
          </w:tcPr>
          <w:p w14:paraId="67734414">
            <w:pPr>
              <w:jc w:val="left"/>
            </w:pPr>
            <w:r>
              <w:rPr>
                <w:rFonts w:ascii="Times New Roman" w:hAnsi="Times New Roman"/>
                <w:sz w:val="17"/>
              </w:rPr>
              <w:t>mIoU</w:t>
            </w:r>
          </w:p>
        </w:tc>
        <w:tc>
          <w:tcPr>
            <w:tcW w:w="2160" w:type="dxa"/>
            <w:tcBorders>
              <w:top w:val="single" w:color="999999" w:sz="4" w:space="0"/>
              <w:left w:val="nil"/>
              <w:bottom w:val="single" w:color="999999" w:sz="4" w:space="0"/>
              <w:right w:val="nil"/>
            </w:tcBorders>
          </w:tcPr>
          <w:p w14:paraId="642F3B40">
            <w:pPr>
              <w:jc w:val="center"/>
            </w:pPr>
            <w:r>
              <w:rPr>
                <w:rFonts w:ascii="Times New Roman" w:hAnsi="Times New Roman"/>
                <w:sz w:val="17"/>
              </w:rPr>
              <w:t>↑</w:t>
            </w:r>
          </w:p>
        </w:tc>
        <w:tc>
          <w:tcPr>
            <w:tcW w:w="2160" w:type="dxa"/>
            <w:tcBorders>
              <w:top w:val="single" w:color="999999" w:sz="4" w:space="0"/>
              <w:left w:val="nil"/>
              <w:bottom w:val="single" w:color="999999" w:sz="4" w:space="0"/>
              <w:right w:val="nil"/>
            </w:tcBorders>
          </w:tcPr>
          <w:p w14:paraId="2E8E8D0D">
            <w:pPr>
              <w:jc w:val="center"/>
            </w:pPr>
            <w:r>
              <w:rPr>
                <w:rFonts w:ascii="Times New Roman" w:hAnsi="Times New Roman"/>
                <w:sz w:val="17"/>
              </w:rPr>
              <w:t>Mean per-class IoU over 21 classes</w:t>
            </w:r>
          </w:p>
        </w:tc>
        <w:tc>
          <w:tcPr>
            <w:tcW w:w="2160" w:type="dxa"/>
            <w:tcBorders>
              <w:top w:val="single" w:color="999999" w:sz="4" w:space="0"/>
              <w:left w:val="nil"/>
              <w:bottom w:val="single" w:color="999999" w:sz="4" w:space="0"/>
              <w:right w:val="nil"/>
            </w:tcBorders>
          </w:tcPr>
          <w:p w14:paraId="4589025D">
            <w:pPr>
              <w:jc w:val="center"/>
            </w:pPr>
            <w:r>
              <w:rPr>
                <w:rFonts w:ascii="Times New Roman" w:hAnsi="Times New Roman"/>
                <w:sz w:val="17"/>
              </w:rPr>
              <w:t>Open-vocabulary segmentation (OpenCLIP only)</w:t>
            </w:r>
          </w:p>
        </w:tc>
      </w:tr>
    </w:tbl>
    <w:p w14:paraId="54E7BB82"/>
    <w:p w14:paraId="2A95BC25">
      <w:pPr>
        <w:pStyle w:val="19"/>
        <w:spacing w:after="80"/>
      </w:pPr>
      <w:r>
        <w:rPr>
          <w:rFonts w:ascii="Times New Roman" w:hAnsi="Times New Roman"/>
          <w:b w:val="0"/>
          <w:i w:val="0"/>
          <w:sz w:val="20"/>
        </w:rPr>
        <w:t>CorLoc probes whether the model localizes an object; Mask IoU probes how precisely it delineates the object boundary; PiB probes which specific patch the model considers most salient. Together they provide a three-dimensional view of localization quality.</w:t>
      </w:r>
    </w:p>
    <w:p w14:paraId="5839143F">
      <w:pPr>
        <w:pStyle w:val="5"/>
      </w:pPr>
      <w:r>
        <w:t>Comparison Methods</w:t>
      </w:r>
    </w:p>
    <w:p w14:paraId="56407D0C">
      <w:pPr>
        <w:pStyle w:val="19"/>
        <w:spacing w:after="80"/>
      </w:pPr>
      <w:r>
        <w:rPr>
          <w:rFonts w:ascii="Times New Roman" w:hAnsi="Times New Roman"/>
          <w:b w:val="0"/>
          <w:i w:val="0"/>
          <w:sz w:val="20"/>
        </w:rPr>
        <w:t>We compare against six baselines spanning three method families.</w:t>
      </w:r>
    </w:p>
    <w:p w14:paraId="59F3D03F">
      <w:pPr>
        <w:pStyle w:val="19"/>
        <w:spacing w:after="80"/>
      </w:pPr>
      <w:r>
        <w:rPr>
          <w:rFonts w:ascii="Times New Roman" w:hAnsi="Times New Roman"/>
          <w:b w:val="0"/>
          <w:i w:val="0"/>
          <w:sz w:val="20"/>
        </w:rPr>
        <w:t>Attention-map methods extract localization signals from network activations without learned aggregation: CAM [3] generates class-specific heatmaps from classifier gradients; DINO-seg [4] extracts self-attention maps from self-supervised DINO ViTs and thresholds them for foreground masks.</w:t>
      </w:r>
    </w:p>
    <w:p w14:paraId="16555BEB">
      <w:pPr>
        <w:pStyle w:val="19"/>
        <w:spacing w:after="80"/>
      </w:pPr>
      <w:r>
        <w:rPr>
          <w:rFonts w:ascii="Times New Roman" w:hAnsi="Times New Roman"/>
          <w:b w:val="0"/>
          <w:i w:val="0"/>
          <w:sz w:val="20"/>
        </w:rPr>
        <w:t>Graph-based methods: TokenCut [5] applies Normalized Cut on the key affinity matrix from DINO's final attention layer to produce a foreground-background bipartition.</w:t>
      </w:r>
    </w:p>
    <w:p w14:paraId="0F2E6645">
      <w:pPr>
        <w:pStyle w:val="19"/>
        <w:spacing w:after="80"/>
      </w:pPr>
      <w:r>
        <w:rPr>
          <w:rFonts w:ascii="Times New Roman" w:hAnsi="Times New Roman"/>
          <w:b w:val="0"/>
          <w:i w:val="0"/>
          <w:sz w:val="20"/>
        </w:rPr>
        <w:t>CLS-aggregation methods train a lightweight module on frozen multi-layer ViT features: LaSt-ViT [6] learns per-patch frequency stability scores via FFT and selects Top-K stable patches for CLS aggregation — it is the direct predecessor of our approach. MaskCLIP [7] uses CLIP's penultimate-layer patch-text cosine similarity for per-pixel open-vocabulary prediction, serving as the CLIP-based baseline.</w:t>
      </w:r>
    </w:p>
    <w:p w14:paraId="4BDFE4B0">
      <w:pPr>
        <w:pStyle w:val="5"/>
      </w:pPr>
      <w:r>
        <w:t>Implementation Details</w:t>
      </w:r>
    </w:p>
    <w:p w14:paraId="2CFCB468">
      <w:pPr>
        <w:pStyle w:val="19"/>
        <w:spacing w:after="80"/>
      </w:pPr>
      <w:r>
        <w:rPr>
          <w:rFonts w:ascii="Times New Roman" w:hAnsi="Times New Roman"/>
          <w:b w:val="0"/>
          <w:i w:val="0"/>
          <w:sz w:val="20"/>
        </w:rPr>
        <w:t>For DINO experiments, we use ViT-S/16 [8] pretrained with self-supervised DINO as the frozen backbone. Multi-layer patch features are extracted at layers {3, 6, 9, 12} and projected to a common 384-dimensional space. For OpenCLIP experiments, we use ViT-B/16 pretrained on LAION-2B [9]. The aggregation module is trained for 50 epochs with batch size 16, learning rate 10−4, AdamW optimizer (weight decay 0.01), and cosine annealing. Loss weights are λfg = 0.1 (foreground mask), λdec = 0.05 (decoupling), λbudget = 0.01 (budget regularization). All experiments use a single NVIDIA RTX 4070 Laptop GPU. The DINO ViT-S/16 backbone is frozen (21.67M parameters, 0 trainable); only the 0.59M-parameter aggregation head is updated.</w:t>
      </w:r>
    </w:p>
    <w:p w14:paraId="773F7B43">
      <w:pPr>
        <w:pStyle w:val="4"/>
      </w:pPr>
      <w:r>
        <w:t>B. Main Results</w:t>
      </w:r>
    </w:p>
    <w:p w14:paraId="059CA063">
      <w:pPr>
        <w:jc w:val="center"/>
      </w:pPr>
      <w:r>
        <w:drawing>
          <wp:inline distT="0" distB="0" distL="114300" distR="114300">
            <wp:extent cx="502920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3315089"/>
                    </a:xfrm>
                    <a:prstGeom prst="rect">
                      <a:avLst/>
                    </a:prstGeom>
                  </pic:spPr>
                </pic:pic>
              </a:graphicData>
            </a:graphic>
          </wp:inline>
        </w:drawing>
      </w:r>
    </w:p>
    <w:p w14:paraId="017A3B6C">
      <w:pPr>
        <w:spacing w:before="40" w:after="120"/>
        <w:jc w:val="center"/>
      </w:pPr>
      <w:r>
        <w:rPr>
          <w:rFonts w:ascii="Times New Roman" w:hAnsi="Times New Roman"/>
          <w:i/>
          <w:sz w:val="16"/>
        </w:rPr>
        <w:t>Fig. 2. Main results. (a) VOC 2012 object discovery: grouped bar comparison of CorLoc, Mask IoU, and PiB across five DINO-based methods plus two CLIP-based methods. (b) COCO 2017 cross-dataset generalization. (c) DAFB-CLS improvement over each baseline (Δ CorLoc and Δ Mask IoU). (d) Component ablation on DINO ViT-S/16 + VOC.</w:t>
      </w:r>
    </w:p>
    <w:p w14:paraId="44540CF5">
      <w:pPr>
        <w:pStyle w:val="5"/>
      </w:pPr>
      <w:r>
        <w:t>Object Discovery on VOC 2012</w:t>
      </w:r>
    </w:p>
    <w:p w14:paraId="6F434E80">
      <w:pPr>
        <w:pStyle w:val="19"/>
        <w:spacing w:after="80"/>
      </w:pPr>
      <w:r>
        <w:rPr>
          <w:rFonts w:ascii="Times New Roman" w:hAnsi="Times New Roman"/>
          <w:b w:val="0"/>
          <w:i w:val="0"/>
          <w:sz w:val="20"/>
        </w:rPr>
        <w:t>Table I compares DAFB-CLS against all baselines on the VOC validation set using DINO ViT-S/16. The raw ViT baseline (CLS-only aggregation, no foreground cues) achieves only 29.33% CorLoc, confirming that the default CLS token cannot serve as a reliable object localizer — its global receptive field dilutes foreground signals with background context.</w:t>
      </w:r>
    </w:p>
    <w:p w14:paraId="1707A268">
      <w:pPr>
        <w:spacing w:before="40" w:after="120"/>
        <w:jc w:val="center"/>
      </w:pPr>
      <w:r>
        <w:rPr>
          <w:rFonts w:ascii="Times New Roman" w:hAnsi="Times New Roman"/>
          <w:i/>
          <w:sz w:val="16"/>
        </w:rPr>
        <w:t>TABLE I. Object Discovery Results on VOC 2012 (DINO ViT-S/16)</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4722F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shd w:val="clear" w:color="auto" w:fill="E8E8E8"/>
          </w:tcPr>
          <w:p w14:paraId="2774B15C">
            <w:pPr>
              <w:jc w:val="center"/>
            </w:pPr>
            <w:r>
              <w:rPr>
                <w:rFonts w:ascii="Times New Roman" w:hAnsi="Times New Roman"/>
                <w:b/>
                <w:sz w:val="17"/>
              </w:rPr>
              <w:t>Method</w:t>
            </w:r>
          </w:p>
        </w:tc>
        <w:tc>
          <w:tcPr>
            <w:tcW w:w="1728" w:type="dxa"/>
            <w:tcBorders>
              <w:top w:val="single" w:color="999999" w:sz="4" w:space="0"/>
              <w:left w:val="nil"/>
              <w:bottom w:val="single" w:color="999999" w:sz="4" w:space="0"/>
              <w:right w:val="nil"/>
            </w:tcBorders>
            <w:shd w:val="clear" w:color="auto" w:fill="E8E8E8"/>
          </w:tcPr>
          <w:p w14:paraId="04A648AF">
            <w:pPr>
              <w:jc w:val="center"/>
            </w:pPr>
            <w:r>
              <w:rPr>
                <w:rFonts w:ascii="Times New Roman" w:hAnsi="Times New Roman"/>
                <w:b/>
                <w:sz w:val="17"/>
              </w:rPr>
              <w:t>Backbone</w:t>
            </w:r>
          </w:p>
        </w:tc>
        <w:tc>
          <w:tcPr>
            <w:tcW w:w="1728" w:type="dxa"/>
            <w:tcBorders>
              <w:top w:val="single" w:color="999999" w:sz="4" w:space="0"/>
              <w:left w:val="nil"/>
              <w:bottom w:val="single" w:color="999999" w:sz="4" w:space="0"/>
              <w:right w:val="nil"/>
            </w:tcBorders>
            <w:shd w:val="clear" w:color="auto" w:fill="E8E8E8"/>
          </w:tcPr>
          <w:p w14:paraId="54FF1920">
            <w:pPr>
              <w:jc w:val="center"/>
            </w:pPr>
            <w:r>
              <w:rPr>
                <w:rFonts w:ascii="Times New Roman" w:hAnsi="Times New Roman"/>
                <w:b/>
                <w:sz w:val="17"/>
              </w:rPr>
              <w:t>CorLoc ↑</w:t>
            </w:r>
          </w:p>
        </w:tc>
        <w:tc>
          <w:tcPr>
            <w:tcW w:w="1728" w:type="dxa"/>
            <w:tcBorders>
              <w:top w:val="single" w:color="999999" w:sz="4" w:space="0"/>
              <w:left w:val="nil"/>
              <w:bottom w:val="single" w:color="999999" w:sz="4" w:space="0"/>
              <w:right w:val="nil"/>
            </w:tcBorders>
            <w:shd w:val="clear" w:color="auto" w:fill="E8E8E8"/>
          </w:tcPr>
          <w:p w14:paraId="2CAD2945">
            <w:pPr>
              <w:jc w:val="center"/>
            </w:pPr>
            <w:r>
              <w:rPr>
                <w:rFonts w:ascii="Times New Roman" w:hAnsi="Times New Roman"/>
                <w:b/>
                <w:sz w:val="17"/>
              </w:rPr>
              <w:t>Mask IoU ↑</w:t>
            </w:r>
          </w:p>
        </w:tc>
        <w:tc>
          <w:tcPr>
            <w:tcW w:w="1728" w:type="dxa"/>
            <w:tcBorders>
              <w:top w:val="single" w:color="999999" w:sz="4" w:space="0"/>
              <w:left w:val="nil"/>
              <w:bottom w:val="single" w:color="999999" w:sz="4" w:space="0"/>
              <w:right w:val="nil"/>
            </w:tcBorders>
            <w:shd w:val="clear" w:color="auto" w:fill="E8E8E8"/>
          </w:tcPr>
          <w:p w14:paraId="5010635C">
            <w:pPr>
              <w:jc w:val="center"/>
            </w:pPr>
            <w:r>
              <w:rPr>
                <w:rFonts w:ascii="Times New Roman" w:hAnsi="Times New Roman"/>
                <w:b/>
                <w:sz w:val="17"/>
              </w:rPr>
              <w:t>PiB ↑</w:t>
            </w:r>
          </w:p>
        </w:tc>
      </w:tr>
      <w:tr w14:paraId="4C07E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7E391438">
            <w:pPr>
              <w:jc w:val="left"/>
            </w:pPr>
            <w:r>
              <w:rPr>
                <w:rFonts w:ascii="Times New Roman" w:hAnsi="Times New Roman"/>
                <w:sz w:val="17"/>
              </w:rPr>
              <w:t>CAM</w:t>
            </w:r>
          </w:p>
        </w:tc>
        <w:tc>
          <w:tcPr>
            <w:tcW w:w="1728" w:type="dxa"/>
            <w:tcBorders>
              <w:top w:val="single" w:color="999999" w:sz="4" w:space="0"/>
              <w:left w:val="nil"/>
              <w:bottom w:val="single" w:color="999999" w:sz="4" w:space="0"/>
              <w:right w:val="nil"/>
            </w:tcBorders>
          </w:tcPr>
          <w:p w14:paraId="5DBEF456">
            <w:pPr>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71F8DB4B">
            <w:pPr>
              <w:jc w:val="center"/>
            </w:pPr>
            <w:r>
              <w:rPr>
                <w:rFonts w:ascii="Times New Roman" w:hAnsi="Times New Roman"/>
                <w:sz w:val="17"/>
              </w:rPr>
              <w:t>62.8</w:t>
            </w:r>
          </w:p>
        </w:tc>
        <w:tc>
          <w:tcPr>
            <w:tcW w:w="1728" w:type="dxa"/>
            <w:tcBorders>
              <w:top w:val="single" w:color="999999" w:sz="4" w:space="0"/>
              <w:left w:val="nil"/>
              <w:bottom w:val="single" w:color="999999" w:sz="4" w:space="0"/>
              <w:right w:val="nil"/>
            </w:tcBorders>
          </w:tcPr>
          <w:p w14:paraId="032D04BE">
            <w:pPr>
              <w:jc w:val="center"/>
            </w:pPr>
            <w:r>
              <w:rPr>
                <w:rFonts w:ascii="Times New Roman" w:hAnsi="Times New Roman"/>
                <w:sz w:val="17"/>
              </w:rPr>
              <w:t>3.52</w:t>
            </w:r>
          </w:p>
        </w:tc>
        <w:tc>
          <w:tcPr>
            <w:tcW w:w="1728" w:type="dxa"/>
            <w:tcBorders>
              <w:top w:val="single" w:color="999999" w:sz="4" w:space="0"/>
              <w:left w:val="nil"/>
              <w:bottom w:val="single" w:color="999999" w:sz="4" w:space="0"/>
              <w:right w:val="nil"/>
            </w:tcBorders>
          </w:tcPr>
          <w:p w14:paraId="41071CA2">
            <w:pPr>
              <w:jc w:val="center"/>
            </w:pPr>
            <w:r>
              <w:rPr>
                <w:rFonts w:ascii="Times New Roman" w:hAnsi="Times New Roman"/>
                <w:sz w:val="17"/>
              </w:rPr>
              <w:t>21.26</w:t>
            </w:r>
          </w:p>
        </w:tc>
      </w:tr>
      <w:tr w14:paraId="48AB7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732516FD">
            <w:pPr>
              <w:jc w:val="left"/>
            </w:pPr>
            <w:r>
              <w:rPr>
                <w:rFonts w:ascii="Times New Roman" w:hAnsi="Times New Roman"/>
                <w:sz w:val="17"/>
              </w:rPr>
              <w:t>DINO-seg</w:t>
            </w:r>
          </w:p>
        </w:tc>
        <w:tc>
          <w:tcPr>
            <w:tcW w:w="1728" w:type="dxa"/>
            <w:tcBorders>
              <w:top w:val="single" w:color="999999" w:sz="4" w:space="0"/>
              <w:left w:val="nil"/>
              <w:bottom w:val="single" w:color="999999" w:sz="4" w:space="0"/>
              <w:right w:val="nil"/>
            </w:tcBorders>
          </w:tcPr>
          <w:p w14:paraId="1B7FC797">
            <w:pPr>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20098070">
            <w:pPr>
              <w:jc w:val="center"/>
            </w:pPr>
            <w:r>
              <w:rPr>
                <w:rFonts w:ascii="Times New Roman" w:hAnsi="Times New Roman"/>
                <w:sz w:val="17"/>
              </w:rPr>
              <w:t>68.46</w:t>
            </w:r>
          </w:p>
        </w:tc>
        <w:tc>
          <w:tcPr>
            <w:tcW w:w="1728" w:type="dxa"/>
            <w:tcBorders>
              <w:top w:val="single" w:color="999999" w:sz="4" w:space="0"/>
              <w:left w:val="nil"/>
              <w:bottom w:val="single" w:color="999999" w:sz="4" w:space="0"/>
              <w:right w:val="nil"/>
            </w:tcBorders>
          </w:tcPr>
          <w:p w14:paraId="7044BD01">
            <w:pPr>
              <w:jc w:val="center"/>
            </w:pPr>
            <w:r>
              <w:rPr>
                <w:rFonts w:ascii="Times New Roman" w:hAnsi="Times New Roman"/>
                <w:sz w:val="17"/>
              </w:rPr>
              <w:t>8.83</w:t>
            </w:r>
          </w:p>
        </w:tc>
        <w:tc>
          <w:tcPr>
            <w:tcW w:w="1728" w:type="dxa"/>
            <w:tcBorders>
              <w:top w:val="single" w:color="999999" w:sz="4" w:space="0"/>
              <w:left w:val="nil"/>
              <w:bottom w:val="single" w:color="999999" w:sz="4" w:space="0"/>
              <w:right w:val="nil"/>
            </w:tcBorders>
          </w:tcPr>
          <w:p w14:paraId="7DA4B04B">
            <w:pPr>
              <w:jc w:val="center"/>
            </w:pPr>
            <w:r>
              <w:rPr>
                <w:rFonts w:ascii="Times New Roman" w:hAnsi="Times New Roman"/>
                <w:sz w:val="17"/>
              </w:rPr>
              <w:t>24.64</w:t>
            </w:r>
          </w:p>
        </w:tc>
      </w:tr>
      <w:tr w14:paraId="04E3A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152A020F">
            <w:pPr>
              <w:jc w:val="left"/>
            </w:pPr>
            <w:r>
              <w:rPr>
                <w:rFonts w:ascii="Times New Roman" w:hAnsi="Times New Roman"/>
                <w:sz w:val="17"/>
              </w:rPr>
              <w:t>TokenCut</w:t>
            </w:r>
          </w:p>
        </w:tc>
        <w:tc>
          <w:tcPr>
            <w:tcW w:w="1728" w:type="dxa"/>
            <w:tcBorders>
              <w:top w:val="single" w:color="999999" w:sz="4" w:space="0"/>
              <w:left w:val="nil"/>
              <w:bottom w:val="single" w:color="999999" w:sz="4" w:space="0"/>
              <w:right w:val="nil"/>
            </w:tcBorders>
          </w:tcPr>
          <w:p w14:paraId="717AF714">
            <w:pPr>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0A36D2CD">
            <w:pPr>
              <w:jc w:val="center"/>
            </w:pPr>
            <w:r>
              <w:rPr>
                <w:rFonts w:ascii="Times New Roman" w:hAnsi="Times New Roman"/>
                <w:sz w:val="17"/>
              </w:rPr>
              <w:t>58.52</w:t>
            </w:r>
          </w:p>
        </w:tc>
        <w:tc>
          <w:tcPr>
            <w:tcW w:w="1728" w:type="dxa"/>
            <w:tcBorders>
              <w:top w:val="single" w:color="999999" w:sz="4" w:space="0"/>
              <w:left w:val="nil"/>
              <w:bottom w:val="single" w:color="999999" w:sz="4" w:space="0"/>
              <w:right w:val="nil"/>
            </w:tcBorders>
          </w:tcPr>
          <w:p w14:paraId="103B7CB0">
            <w:pPr>
              <w:jc w:val="center"/>
            </w:pPr>
            <w:r>
              <w:rPr>
                <w:rFonts w:ascii="Times New Roman" w:hAnsi="Times New Roman"/>
                <w:sz w:val="17"/>
              </w:rPr>
              <w:t>6.17</w:t>
            </w:r>
          </w:p>
        </w:tc>
        <w:tc>
          <w:tcPr>
            <w:tcW w:w="1728" w:type="dxa"/>
            <w:tcBorders>
              <w:top w:val="single" w:color="999999" w:sz="4" w:space="0"/>
              <w:left w:val="nil"/>
              <w:bottom w:val="single" w:color="999999" w:sz="4" w:space="0"/>
              <w:right w:val="nil"/>
            </w:tcBorders>
          </w:tcPr>
          <w:p w14:paraId="5D99F8D9">
            <w:pPr>
              <w:jc w:val="center"/>
            </w:pPr>
            <w:r>
              <w:rPr>
                <w:rFonts w:ascii="Times New Roman" w:hAnsi="Times New Roman"/>
                <w:sz w:val="17"/>
              </w:rPr>
              <w:t>25.6</w:t>
            </w:r>
          </w:p>
        </w:tc>
      </w:tr>
      <w:tr w14:paraId="5500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359921DD">
            <w:pPr>
              <w:jc w:val="left"/>
            </w:pPr>
            <w:r>
              <w:rPr>
                <w:rFonts w:ascii="Times New Roman" w:hAnsi="Times New Roman"/>
                <w:sz w:val="17"/>
              </w:rPr>
              <w:t>LaSt-ViT</w:t>
            </w:r>
          </w:p>
        </w:tc>
        <w:tc>
          <w:tcPr>
            <w:tcW w:w="1728" w:type="dxa"/>
            <w:tcBorders>
              <w:top w:val="single" w:color="999999" w:sz="4" w:space="0"/>
              <w:left w:val="nil"/>
              <w:bottom w:val="single" w:color="999999" w:sz="4" w:space="0"/>
              <w:right w:val="nil"/>
            </w:tcBorders>
          </w:tcPr>
          <w:p w14:paraId="5F6C25AD">
            <w:pPr>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17363864">
            <w:pPr>
              <w:jc w:val="center"/>
            </w:pPr>
            <w:r>
              <w:rPr>
                <w:rFonts w:ascii="Times New Roman" w:hAnsi="Times New Roman"/>
                <w:sz w:val="17"/>
              </w:rPr>
              <w:t>65.7</w:t>
            </w:r>
          </w:p>
        </w:tc>
        <w:tc>
          <w:tcPr>
            <w:tcW w:w="1728" w:type="dxa"/>
            <w:tcBorders>
              <w:top w:val="single" w:color="999999" w:sz="4" w:space="0"/>
              <w:left w:val="nil"/>
              <w:bottom w:val="single" w:color="999999" w:sz="4" w:space="0"/>
              <w:right w:val="nil"/>
            </w:tcBorders>
          </w:tcPr>
          <w:p w14:paraId="6AB2EA7A">
            <w:pPr>
              <w:jc w:val="center"/>
            </w:pPr>
            <w:r>
              <w:rPr>
                <w:rFonts w:ascii="Times New Roman" w:hAnsi="Times New Roman"/>
                <w:sz w:val="17"/>
              </w:rPr>
              <w:t>13.31</w:t>
            </w:r>
          </w:p>
        </w:tc>
        <w:tc>
          <w:tcPr>
            <w:tcW w:w="1728" w:type="dxa"/>
            <w:tcBorders>
              <w:top w:val="single" w:color="999999" w:sz="4" w:space="0"/>
              <w:left w:val="nil"/>
              <w:bottom w:val="single" w:color="999999" w:sz="4" w:space="0"/>
              <w:right w:val="nil"/>
            </w:tcBorders>
          </w:tcPr>
          <w:p w14:paraId="60E3C32E">
            <w:pPr>
              <w:jc w:val="center"/>
            </w:pPr>
            <w:r>
              <w:rPr>
                <w:rFonts w:ascii="Times New Roman" w:hAnsi="Times New Roman"/>
                <w:sz w:val="17"/>
              </w:rPr>
              <w:t>48.1</w:t>
            </w:r>
          </w:p>
        </w:tc>
      </w:tr>
      <w:tr w14:paraId="07B8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019F9D68">
            <w:pPr>
              <w:jc w:val="left"/>
            </w:pPr>
            <w:r>
              <w:rPr>
                <w:rFonts w:ascii="Times New Roman" w:hAnsi="Times New Roman"/>
                <w:sz w:val="17"/>
              </w:rPr>
              <w:t>DAFB-CLS</w:t>
            </w:r>
          </w:p>
        </w:tc>
        <w:tc>
          <w:tcPr>
            <w:tcW w:w="1728" w:type="dxa"/>
            <w:tcBorders>
              <w:top w:val="single" w:color="999999" w:sz="4" w:space="0"/>
              <w:left w:val="nil"/>
              <w:bottom w:val="single" w:color="999999" w:sz="4" w:space="0"/>
              <w:right w:val="nil"/>
            </w:tcBorders>
          </w:tcPr>
          <w:p w14:paraId="35BA651C">
            <w:pPr>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31269E97">
            <w:pPr>
              <w:jc w:val="center"/>
            </w:pPr>
            <w:r>
              <w:rPr>
                <w:rFonts w:ascii="Times New Roman" w:hAnsi="Times New Roman"/>
                <w:sz w:val="17"/>
              </w:rPr>
              <w:t>79.43</w:t>
            </w:r>
          </w:p>
        </w:tc>
        <w:tc>
          <w:tcPr>
            <w:tcW w:w="1728" w:type="dxa"/>
            <w:tcBorders>
              <w:top w:val="single" w:color="999999" w:sz="4" w:space="0"/>
              <w:left w:val="nil"/>
              <w:bottom w:val="single" w:color="999999" w:sz="4" w:space="0"/>
              <w:right w:val="nil"/>
            </w:tcBorders>
          </w:tcPr>
          <w:p w14:paraId="30BB887C">
            <w:pPr>
              <w:jc w:val="center"/>
            </w:pPr>
            <w:r>
              <w:rPr>
                <w:rFonts w:ascii="Times New Roman" w:hAnsi="Times New Roman"/>
                <w:sz w:val="17"/>
              </w:rPr>
              <w:t>31.27</w:t>
            </w:r>
          </w:p>
        </w:tc>
        <w:tc>
          <w:tcPr>
            <w:tcW w:w="1728" w:type="dxa"/>
            <w:tcBorders>
              <w:top w:val="single" w:color="999999" w:sz="4" w:space="0"/>
              <w:left w:val="nil"/>
              <w:bottom w:val="single" w:color="999999" w:sz="4" w:space="0"/>
              <w:right w:val="nil"/>
            </w:tcBorders>
          </w:tcPr>
          <w:p w14:paraId="4BE9807E">
            <w:pPr>
              <w:jc w:val="center"/>
            </w:pPr>
            <w:r>
              <w:rPr>
                <w:rFonts w:ascii="Times New Roman" w:hAnsi="Times New Roman"/>
                <w:sz w:val="17"/>
              </w:rPr>
              <w:t>45.07</w:t>
            </w:r>
          </w:p>
        </w:tc>
      </w:tr>
      <w:tr w14:paraId="7B9E3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5F94D633">
            <w:pPr>
              <w:jc w:val="left"/>
            </w:pPr>
            <w:r>
              <w:rPr>
                <w:rFonts w:ascii="Times New Roman" w:hAnsi="Times New Roman"/>
                <w:sz w:val="17"/>
              </w:rPr>
              <w:t>MaskCLIP</w:t>
            </w:r>
          </w:p>
        </w:tc>
        <w:tc>
          <w:tcPr>
            <w:tcW w:w="1728" w:type="dxa"/>
            <w:tcBorders>
              <w:top w:val="single" w:color="999999" w:sz="4" w:space="0"/>
              <w:left w:val="nil"/>
              <w:bottom w:val="single" w:color="999999" w:sz="4" w:space="0"/>
              <w:right w:val="nil"/>
            </w:tcBorders>
          </w:tcPr>
          <w:p w14:paraId="25CFD18B">
            <w:pPr>
              <w:jc w:val="center"/>
            </w:pPr>
            <w:r>
              <w:rPr>
                <w:rFonts w:ascii="Times New Roman" w:hAnsi="Times New Roman"/>
                <w:sz w:val="17"/>
              </w:rPr>
              <w:t>CLIP-B</w:t>
            </w:r>
          </w:p>
        </w:tc>
        <w:tc>
          <w:tcPr>
            <w:tcW w:w="1728" w:type="dxa"/>
            <w:tcBorders>
              <w:top w:val="single" w:color="999999" w:sz="4" w:space="0"/>
              <w:left w:val="nil"/>
              <w:bottom w:val="single" w:color="999999" w:sz="4" w:space="0"/>
              <w:right w:val="nil"/>
            </w:tcBorders>
          </w:tcPr>
          <w:p w14:paraId="325292C1">
            <w:pPr>
              <w:jc w:val="center"/>
            </w:pPr>
            <w:r>
              <w:rPr>
                <w:rFonts w:ascii="Times New Roman" w:hAnsi="Times New Roman"/>
                <w:sz w:val="17"/>
              </w:rPr>
              <w:t>74.88</w:t>
            </w:r>
          </w:p>
        </w:tc>
        <w:tc>
          <w:tcPr>
            <w:tcW w:w="1728" w:type="dxa"/>
            <w:tcBorders>
              <w:top w:val="single" w:color="999999" w:sz="4" w:space="0"/>
              <w:left w:val="nil"/>
              <w:bottom w:val="single" w:color="999999" w:sz="4" w:space="0"/>
              <w:right w:val="nil"/>
            </w:tcBorders>
          </w:tcPr>
          <w:p w14:paraId="379EA722">
            <w:pPr>
              <w:jc w:val="center"/>
            </w:pPr>
            <w:r>
              <w:rPr>
                <w:rFonts w:ascii="Times New Roman" w:hAnsi="Times New Roman"/>
                <w:sz w:val="17"/>
              </w:rPr>
              <w:t>4.07</w:t>
            </w:r>
          </w:p>
        </w:tc>
        <w:tc>
          <w:tcPr>
            <w:tcW w:w="1728" w:type="dxa"/>
            <w:tcBorders>
              <w:top w:val="single" w:color="999999" w:sz="4" w:space="0"/>
              <w:left w:val="nil"/>
              <w:bottom w:val="single" w:color="999999" w:sz="4" w:space="0"/>
              <w:right w:val="nil"/>
            </w:tcBorders>
          </w:tcPr>
          <w:p w14:paraId="7364A7C6">
            <w:pPr>
              <w:jc w:val="center"/>
            </w:pPr>
            <w:r>
              <w:rPr>
                <w:rFonts w:ascii="Times New Roman" w:hAnsi="Times New Roman"/>
                <w:sz w:val="17"/>
              </w:rPr>
              <w:t>39.68</w:t>
            </w:r>
          </w:p>
        </w:tc>
      </w:tr>
      <w:tr w14:paraId="28D93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657AD4B1">
            <w:pPr>
              <w:jc w:val="left"/>
            </w:pPr>
            <w:r>
              <w:rPr>
                <w:rFonts w:ascii="Times New Roman" w:hAnsi="Times New Roman"/>
                <w:sz w:val="17"/>
              </w:rPr>
              <w:t>DAFB-CLS</w:t>
            </w:r>
          </w:p>
        </w:tc>
        <w:tc>
          <w:tcPr>
            <w:tcW w:w="1728" w:type="dxa"/>
            <w:tcBorders>
              <w:top w:val="single" w:color="999999" w:sz="4" w:space="0"/>
              <w:left w:val="nil"/>
              <w:bottom w:val="single" w:color="999999" w:sz="4" w:space="0"/>
              <w:right w:val="nil"/>
            </w:tcBorders>
          </w:tcPr>
          <w:p w14:paraId="33D0B76C">
            <w:pPr>
              <w:jc w:val="center"/>
            </w:pPr>
            <w:r>
              <w:rPr>
                <w:rFonts w:ascii="Times New Roman" w:hAnsi="Times New Roman"/>
                <w:sz w:val="17"/>
              </w:rPr>
              <w:t>CLIP-B</w:t>
            </w:r>
          </w:p>
        </w:tc>
        <w:tc>
          <w:tcPr>
            <w:tcW w:w="1728" w:type="dxa"/>
            <w:tcBorders>
              <w:top w:val="single" w:color="999999" w:sz="4" w:space="0"/>
              <w:left w:val="nil"/>
              <w:bottom w:val="single" w:color="999999" w:sz="4" w:space="0"/>
              <w:right w:val="nil"/>
            </w:tcBorders>
          </w:tcPr>
          <w:p w14:paraId="22F0F51D">
            <w:pPr>
              <w:jc w:val="center"/>
            </w:pPr>
            <w:r>
              <w:rPr>
                <w:rFonts w:ascii="Times New Roman" w:hAnsi="Times New Roman"/>
                <w:sz w:val="17"/>
              </w:rPr>
              <w:t>77.29</w:t>
            </w:r>
          </w:p>
        </w:tc>
        <w:tc>
          <w:tcPr>
            <w:tcW w:w="1728" w:type="dxa"/>
            <w:tcBorders>
              <w:top w:val="single" w:color="999999" w:sz="4" w:space="0"/>
              <w:left w:val="nil"/>
              <w:bottom w:val="single" w:color="999999" w:sz="4" w:space="0"/>
              <w:right w:val="nil"/>
            </w:tcBorders>
          </w:tcPr>
          <w:p w14:paraId="2A2831F0">
            <w:pPr>
              <w:jc w:val="center"/>
            </w:pPr>
            <w:r>
              <w:rPr>
                <w:rFonts w:ascii="Times New Roman" w:hAnsi="Times New Roman"/>
                <w:sz w:val="17"/>
              </w:rPr>
              <w:t>33.32</w:t>
            </w:r>
          </w:p>
        </w:tc>
        <w:tc>
          <w:tcPr>
            <w:tcW w:w="1728" w:type="dxa"/>
            <w:tcBorders>
              <w:top w:val="single" w:color="999999" w:sz="4" w:space="0"/>
              <w:left w:val="nil"/>
              <w:bottom w:val="single" w:color="999999" w:sz="4" w:space="0"/>
              <w:right w:val="nil"/>
            </w:tcBorders>
          </w:tcPr>
          <w:p w14:paraId="614647B5">
            <w:pPr>
              <w:jc w:val="center"/>
            </w:pPr>
            <w:r>
              <w:rPr>
                <w:rFonts w:ascii="Times New Roman" w:hAnsi="Times New Roman"/>
                <w:sz w:val="17"/>
              </w:rPr>
              <w:t>79.64</w:t>
            </w:r>
          </w:p>
        </w:tc>
      </w:tr>
    </w:tbl>
    <w:p w14:paraId="01637DB6"/>
    <w:p w14:paraId="201DD4BC">
      <w:pPr>
        <w:pStyle w:val="19"/>
        <w:spacing w:after="80"/>
      </w:pPr>
      <w:r>
        <w:rPr>
          <w:rFonts w:ascii="Times New Roman" w:hAnsi="Times New Roman"/>
          <w:b w:val="0"/>
          <w:i w:val="0"/>
          <w:sz w:val="20"/>
        </w:rPr>
        <w:t>DAFB-CLS achieves 79.43% CorLoc, outperforming LaSt-ViT by +13.7 pp and TokenCut by +20.9 pp. The Mask IoU improvement is even more pronounced: 31.27% vs. LaSt-ViT's 13.31% (+18.0 pp). This +18.0 pp Mask IoU gain — more than doubling the previous best — directly validates the adaptive soft mask's ability to produce spatially precise foreground regions, in contrast to the coarse binary masks from fixed Top-K or NCut bipartition.</w:t>
      </w:r>
    </w:p>
    <w:p w14:paraId="07B16A9A">
      <w:pPr>
        <w:pStyle w:val="19"/>
        <w:spacing w:after="80"/>
      </w:pPr>
      <w:r>
        <w:rPr>
          <w:rFonts w:ascii="Times New Roman" w:hAnsi="Times New Roman"/>
          <w:b w:val="0"/>
          <w:i w:val="0"/>
          <w:sz w:val="20"/>
        </w:rPr>
        <w:t>With the stronger OpenCLIP ViT-B/16 backbone, DAFB-CLS reaches 79.64% PiB and 33.32% Mask IoU, substantially surpassing MaskCLIP (+40.0 pp PiB, +29.3 pp Mask IoU). Critically, DAFB-CLS achieves this without any text supervision — the dual CLS decoupling mechanism alone provides sufficient foreground-background discrimination.</w:t>
      </w:r>
    </w:p>
    <w:p w14:paraId="0298E0D8">
      <w:pPr>
        <w:pStyle w:val="5"/>
      </w:pPr>
      <w:r>
        <w:t>Object Discovery on COCO 2017</w:t>
      </w:r>
    </w:p>
    <w:p w14:paraId="2087F345">
      <w:pPr>
        <w:pStyle w:val="19"/>
        <w:spacing w:after="80"/>
      </w:pPr>
      <w:r>
        <w:rPr>
          <w:rFonts w:ascii="Times New Roman" w:hAnsi="Times New Roman"/>
          <w:b w:val="0"/>
          <w:i w:val="0"/>
          <w:sz w:val="20"/>
        </w:rPr>
        <w:t>To assess cross-dataset generalization, we evaluate the same models — trained only on VOC — directly on COCO without fine-tuning. Table II reports the results.</w:t>
      </w:r>
    </w:p>
    <w:p w14:paraId="36DCF237">
      <w:pPr>
        <w:spacing w:before="40" w:after="120"/>
        <w:jc w:val="center"/>
      </w:pPr>
      <w:r>
        <w:rPr>
          <w:rFonts w:ascii="Times New Roman" w:hAnsi="Times New Roman"/>
          <w:i/>
          <w:sz w:val="16"/>
        </w:rPr>
        <w:t>TABLE II. Object Discovery Results on COCO 2017 (DINO ViT-S/16)</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518B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shd w:val="clear" w:color="auto" w:fill="E8E8E8"/>
          </w:tcPr>
          <w:p w14:paraId="3AE4D8A5">
            <w:pPr>
              <w:jc w:val="center"/>
            </w:pPr>
            <w:r>
              <w:rPr>
                <w:rFonts w:ascii="Times New Roman" w:hAnsi="Times New Roman"/>
                <w:b/>
                <w:sz w:val="17"/>
              </w:rPr>
              <w:t>Method</w:t>
            </w:r>
          </w:p>
        </w:tc>
        <w:tc>
          <w:tcPr>
            <w:tcW w:w="1728" w:type="dxa"/>
            <w:tcBorders>
              <w:top w:val="single" w:color="999999" w:sz="4" w:space="0"/>
              <w:left w:val="nil"/>
              <w:bottom w:val="single" w:color="999999" w:sz="4" w:space="0"/>
              <w:right w:val="nil"/>
            </w:tcBorders>
            <w:shd w:val="clear" w:color="auto" w:fill="E8E8E8"/>
          </w:tcPr>
          <w:p w14:paraId="1A720039">
            <w:pPr>
              <w:jc w:val="center"/>
            </w:pPr>
            <w:r>
              <w:rPr>
                <w:rFonts w:ascii="Times New Roman" w:hAnsi="Times New Roman"/>
                <w:b/>
                <w:sz w:val="17"/>
              </w:rPr>
              <w:t>Backbone</w:t>
            </w:r>
          </w:p>
        </w:tc>
        <w:tc>
          <w:tcPr>
            <w:tcW w:w="1728" w:type="dxa"/>
            <w:tcBorders>
              <w:top w:val="single" w:color="999999" w:sz="4" w:space="0"/>
              <w:left w:val="nil"/>
              <w:bottom w:val="single" w:color="999999" w:sz="4" w:space="0"/>
              <w:right w:val="nil"/>
            </w:tcBorders>
            <w:shd w:val="clear" w:color="auto" w:fill="E8E8E8"/>
          </w:tcPr>
          <w:p w14:paraId="37B6E03F">
            <w:pPr>
              <w:jc w:val="center"/>
            </w:pPr>
            <w:r>
              <w:rPr>
                <w:rFonts w:ascii="Times New Roman" w:hAnsi="Times New Roman"/>
                <w:b/>
                <w:sz w:val="17"/>
              </w:rPr>
              <w:t>CorLoc ↑</w:t>
            </w:r>
          </w:p>
        </w:tc>
        <w:tc>
          <w:tcPr>
            <w:tcW w:w="1728" w:type="dxa"/>
            <w:tcBorders>
              <w:top w:val="single" w:color="999999" w:sz="4" w:space="0"/>
              <w:left w:val="nil"/>
              <w:bottom w:val="single" w:color="999999" w:sz="4" w:space="0"/>
              <w:right w:val="nil"/>
            </w:tcBorders>
            <w:shd w:val="clear" w:color="auto" w:fill="E8E8E8"/>
          </w:tcPr>
          <w:p w14:paraId="48D2EC07">
            <w:pPr>
              <w:jc w:val="center"/>
            </w:pPr>
            <w:r>
              <w:rPr>
                <w:rFonts w:ascii="Times New Roman" w:hAnsi="Times New Roman"/>
                <w:b/>
                <w:sz w:val="17"/>
              </w:rPr>
              <w:t>Mask IoU ↑</w:t>
            </w:r>
          </w:p>
        </w:tc>
        <w:tc>
          <w:tcPr>
            <w:tcW w:w="1728" w:type="dxa"/>
            <w:tcBorders>
              <w:top w:val="single" w:color="999999" w:sz="4" w:space="0"/>
              <w:left w:val="nil"/>
              <w:bottom w:val="single" w:color="999999" w:sz="4" w:space="0"/>
              <w:right w:val="nil"/>
            </w:tcBorders>
            <w:shd w:val="clear" w:color="auto" w:fill="E8E8E8"/>
          </w:tcPr>
          <w:p w14:paraId="6B0483E9">
            <w:pPr>
              <w:jc w:val="center"/>
            </w:pPr>
            <w:r>
              <w:rPr>
                <w:rFonts w:ascii="Times New Roman" w:hAnsi="Times New Roman"/>
                <w:b/>
                <w:sz w:val="17"/>
              </w:rPr>
              <w:t>PiB ↑</w:t>
            </w:r>
          </w:p>
        </w:tc>
      </w:tr>
      <w:tr w14:paraId="6795F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77C7AC0A">
            <w:pPr>
              <w:jc w:val="left"/>
            </w:pPr>
            <w:r>
              <w:rPr>
                <w:rFonts w:ascii="Times New Roman" w:hAnsi="Times New Roman"/>
                <w:sz w:val="17"/>
              </w:rPr>
              <w:t>CAM</w:t>
            </w:r>
          </w:p>
        </w:tc>
        <w:tc>
          <w:tcPr>
            <w:tcW w:w="1728" w:type="dxa"/>
            <w:tcBorders>
              <w:top w:val="single" w:color="999999" w:sz="4" w:space="0"/>
              <w:left w:val="nil"/>
              <w:bottom w:val="single" w:color="999999" w:sz="4" w:space="0"/>
              <w:right w:val="nil"/>
            </w:tcBorders>
          </w:tcPr>
          <w:p w14:paraId="1E719A22">
            <w:pPr>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3C862EC2">
            <w:pPr>
              <w:jc w:val="center"/>
            </w:pPr>
            <w:r>
              <w:rPr>
                <w:rFonts w:ascii="Times New Roman" w:hAnsi="Times New Roman"/>
                <w:sz w:val="17"/>
              </w:rPr>
              <w:t>59.81</w:t>
            </w:r>
          </w:p>
        </w:tc>
        <w:tc>
          <w:tcPr>
            <w:tcW w:w="1728" w:type="dxa"/>
            <w:tcBorders>
              <w:top w:val="single" w:color="999999" w:sz="4" w:space="0"/>
              <w:left w:val="nil"/>
              <w:bottom w:val="single" w:color="999999" w:sz="4" w:space="0"/>
              <w:right w:val="nil"/>
            </w:tcBorders>
          </w:tcPr>
          <w:p w14:paraId="4A99FBE9">
            <w:pPr>
              <w:jc w:val="center"/>
            </w:pPr>
            <w:r>
              <w:rPr>
                <w:rFonts w:ascii="Times New Roman" w:hAnsi="Times New Roman"/>
                <w:sz w:val="17"/>
              </w:rPr>
              <w:t>4.3</w:t>
            </w:r>
          </w:p>
        </w:tc>
        <w:tc>
          <w:tcPr>
            <w:tcW w:w="1728" w:type="dxa"/>
            <w:tcBorders>
              <w:top w:val="single" w:color="999999" w:sz="4" w:space="0"/>
              <w:left w:val="nil"/>
              <w:bottom w:val="single" w:color="999999" w:sz="4" w:space="0"/>
              <w:right w:val="nil"/>
            </w:tcBorders>
          </w:tcPr>
          <w:p w14:paraId="2952295C">
            <w:pPr>
              <w:jc w:val="center"/>
            </w:pPr>
            <w:r>
              <w:rPr>
                <w:rFonts w:ascii="Times New Roman" w:hAnsi="Times New Roman"/>
                <w:sz w:val="17"/>
              </w:rPr>
              <w:t>24.96</w:t>
            </w:r>
          </w:p>
        </w:tc>
      </w:tr>
      <w:tr w14:paraId="102DF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54D3DE03">
            <w:pPr>
              <w:jc w:val="left"/>
            </w:pPr>
            <w:r>
              <w:rPr>
                <w:rFonts w:ascii="Times New Roman" w:hAnsi="Times New Roman"/>
                <w:sz w:val="17"/>
              </w:rPr>
              <w:t>DINO-seg</w:t>
            </w:r>
          </w:p>
        </w:tc>
        <w:tc>
          <w:tcPr>
            <w:tcW w:w="1728" w:type="dxa"/>
            <w:tcBorders>
              <w:top w:val="single" w:color="999999" w:sz="4" w:space="0"/>
              <w:left w:val="nil"/>
              <w:bottom w:val="single" w:color="999999" w:sz="4" w:space="0"/>
              <w:right w:val="nil"/>
            </w:tcBorders>
          </w:tcPr>
          <w:p w14:paraId="66DA4644">
            <w:pPr>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73FD939B">
            <w:pPr>
              <w:jc w:val="center"/>
            </w:pPr>
            <w:r>
              <w:rPr>
                <w:rFonts w:ascii="Times New Roman" w:hAnsi="Times New Roman"/>
                <w:sz w:val="17"/>
              </w:rPr>
              <w:t>67.23</w:t>
            </w:r>
          </w:p>
        </w:tc>
        <w:tc>
          <w:tcPr>
            <w:tcW w:w="1728" w:type="dxa"/>
            <w:tcBorders>
              <w:top w:val="single" w:color="999999" w:sz="4" w:space="0"/>
              <w:left w:val="nil"/>
              <w:bottom w:val="single" w:color="999999" w:sz="4" w:space="0"/>
              <w:right w:val="nil"/>
            </w:tcBorders>
          </w:tcPr>
          <w:p w14:paraId="27191286">
            <w:pPr>
              <w:jc w:val="center"/>
            </w:pPr>
            <w:r>
              <w:rPr>
                <w:rFonts w:ascii="Times New Roman" w:hAnsi="Times New Roman"/>
                <w:sz w:val="17"/>
              </w:rPr>
              <w:t>9.24</w:t>
            </w:r>
          </w:p>
        </w:tc>
        <w:tc>
          <w:tcPr>
            <w:tcW w:w="1728" w:type="dxa"/>
            <w:tcBorders>
              <w:top w:val="single" w:color="999999" w:sz="4" w:space="0"/>
              <w:left w:val="nil"/>
              <w:bottom w:val="single" w:color="999999" w:sz="4" w:space="0"/>
              <w:right w:val="nil"/>
            </w:tcBorders>
          </w:tcPr>
          <w:p w14:paraId="51D8D218">
            <w:pPr>
              <w:jc w:val="center"/>
            </w:pPr>
            <w:r>
              <w:rPr>
                <w:rFonts w:ascii="Times New Roman" w:hAnsi="Times New Roman"/>
                <w:sz w:val="17"/>
              </w:rPr>
              <w:t>29.0</w:t>
            </w:r>
          </w:p>
        </w:tc>
      </w:tr>
      <w:tr w14:paraId="2DCD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65D161CB">
            <w:pPr>
              <w:jc w:val="left"/>
            </w:pPr>
            <w:r>
              <w:rPr>
                <w:rFonts w:ascii="Times New Roman" w:hAnsi="Times New Roman"/>
                <w:sz w:val="17"/>
              </w:rPr>
              <w:t>TokenCut</w:t>
            </w:r>
          </w:p>
        </w:tc>
        <w:tc>
          <w:tcPr>
            <w:tcW w:w="1728" w:type="dxa"/>
            <w:tcBorders>
              <w:top w:val="single" w:color="999999" w:sz="4" w:space="0"/>
              <w:left w:val="nil"/>
              <w:bottom w:val="single" w:color="999999" w:sz="4" w:space="0"/>
              <w:right w:val="nil"/>
            </w:tcBorders>
          </w:tcPr>
          <w:p w14:paraId="43AFA4AB">
            <w:pPr>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0800AD1B">
            <w:pPr>
              <w:jc w:val="center"/>
            </w:pPr>
            <w:r>
              <w:rPr>
                <w:rFonts w:ascii="Times New Roman" w:hAnsi="Times New Roman"/>
                <w:sz w:val="17"/>
              </w:rPr>
              <w:t>54.75</w:t>
            </w:r>
          </w:p>
        </w:tc>
        <w:tc>
          <w:tcPr>
            <w:tcW w:w="1728" w:type="dxa"/>
            <w:tcBorders>
              <w:top w:val="single" w:color="999999" w:sz="4" w:space="0"/>
              <w:left w:val="nil"/>
              <w:bottom w:val="single" w:color="999999" w:sz="4" w:space="0"/>
              <w:right w:val="nil"/>
            </w:tcBorders>
          </w:tcPr>
          <w:p w14:paraId="269AA299">
            <w:pPr>
              <w:jc w:val="center"/>
            </w:pPr>
            <w:r>
              <w:rPr>
                <w:rFonts w:ascii="Times New Roman" w:hAnsi="Times New Roman"/>
                <w:sz w:val="17"/>
              </w:rPr>
              <w:t>6.77</w:t>
            </w:r>
          </w:p>
        </w:tc>
        <w:tc>
          <w:tcPr>
            <w:tcW w:w="1728" w:type="dxa"/>
            <w:tcBorders>
              <w:top w:val="single" w:color="999999" w:sz="4" w:space="0"/>
              <w:left w:val="nil"/>
              <w:bottom w:val="single" w:color="999999" w:sz="4" w:space="0"/>
              <w:right w:val="nil"/>
            </w:tcBorders>
          </w:tcPr>
          <w:p w14:paraId="3D80B734">
            <w:pPr>
              <w:jc w:val="center"/>
            </w:pPr>
            <w:r>
              <w:rPr>
                <w:rFonts w:ascii="Times New Roman" w:hAnsi="Times New Roman"/>
                <w:sz w:val="17"/>
              </w:rPr>
              <w:t>31.97</w:t>
            </w:r>
          </w:p>
        </w:tc>
      </w:tr>
      <w:tr w14:paraId="6441E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07D23435">
            <w:pPr>
              <w:jc w:val="left"/>
            </w:pPr>
            <w:r>
              <w:rPr>
                <w:rFonts w:ascii="Times New Roman" w:hAnsi="Times New Roman"/>
                <w:sz w:val="17"/>
              </w:rPr>
              <w:t>LaSt-ViT</w:t>
            </w:r>
          </w:p>
        </w:tc>
        <w:tc>
          <w:tcPr>
            <w:tcW w:w="1728" w:type="dxa"/>
            <w:tcBorders>
              <w:top w:val="single" w:color="999999" w:sz="4" w:space="0"/>
              <w:left w:val="nil"/>
              <w:bottom w:val="single" w:color="999999" w:sz="4" w:space="0"/>
              <w:right w:val="nil"/>
            </w:tcBorders>
          </w:tcPr>
          <w:p w14:paraId="71718958">
            <w:pPr>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16A321A7">
            <w:pPr>
              <w:jc w:val="center"/>
            </w:pPr>
            <w:r>
              <w:rPr>
                <w:rFonts w:ascii="Times New Roman" w:hAnsi="Times New Roman"/>
                <w:sz w:val="17"/>
              </w:rPr>
              <w:t>61.53</w:t>
            </w:r>
          </w:p>
        </w:tc>
        <w:tc>
          <w:tcPr>
            <w:tcW w:w="1728" w:type="dxa"/>
            <w:tcBorders>
              <w:top w:val="single" w:color="999999" w:sz="4" w:space="0"/>
              <w:left w:val="nil"/>
              <w:bottom w:val="single" w:color="999999" w:sz="4" w:space="0"/>
              <w:right w:val="nil"/>
            </w:tcBorders>
          </w:tcPr>
          <w:p w14:paraId="18932DF6">
            <w:pPr>
              <w:jc w:val="center"/>
            </w:pPr>
            <w:r>
              <w:rPr>
                <w:rFonts w:ascii="Times New Roman" w:hAnsi="Times New Roman"/>
                <w:sz w:val="17"/>
              </w:rPr>
              <w:t>12.95</w:t>
            </w:r>
          </w:p>
        </w:tc>
        <w:tc>
          <w:tcPr>
            <w:tcW w:w="1728" w:type="dxa"/>
            <w:tcBorders>
              <w:top w:val="single" w:color="999999" w:sz="4" w:space="0"/>
              <w:left w:val="nil"/>
              <w:bottom w:val="single" w:color="999999" w:sz="4" w:space="0"/>
              <w:right w:val="nil"/>
            </w:tcBorders>
          </w:tcPr>
          <w:p w14:paraId="63BCEFCB">
            <w:pPr>
              <w:jc w:val="center"/>
            </w:pPr>
            <w:r>
              <w:rPr>
                <w:rFonts w:ascii="Times New Roman" w:hAnsi="Times New Roman"/>
                <w:sz w:val="17"/>
              </w:rPr>
              <w:t>45.09</w:t>
            </w:r>
          </w:p>
        </w:tc>
      </w:tr>
      <w:tr w14:paraId="63105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4799379E">
            <w:pPr>
              <w:jc w:val="left"/>
            </w:pPr>
            <w:r>
              <w:rPr>
                <w:rFonts w:ascii="Times New Roman" w:hAnsi="Times New Roman"/>
                <w:sz w:val="17"/>
              </w:rPr>
              <w:t>DAFB-CLS</w:t>
            </w:r>
          </w:p>
        </w:tc>
        <w:tc>
          <w:tcPr>
            <w:tcW w:w="1728" w:type="dxa"/>
            <w:tcBorders>
              <w:top w:val="single" w:color="999999" w:sz="4" w:space="0"/>
              <w:left w:val="nil"/>
              <w:bottom w:val="single" w:color="999999" w:sz="4" w:space="0"/>
              <w:right w:val="nil"/>
            </w:tcBorders>
          </w:tcPr>
          <w:p w14:paraId="32392266">
            <w:pPr>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4D2F5136">
            <w:pPr>
              <w:jc w:val="center"/>
            </w:pPr>
            <w:r>
              <w:rPr>
                <w:rFonts w:ascii="Times New Roman" w:hAnsi="Times New Roman"/>
                <w:sz w:val="17"/>
              </w:rPr>
              <w:t>72.96</w:t>
            </w:r>
          </w:p>
        </w:tc>
        <w:tc>
          <w:tcPr>
            <w:tcW w:w="1728" w:type="dxa"/>
            <w:tcBorders>
              <w:top w:val="single" w:color="999999" w:sz="4" w:space="0"/>
              <w:left w:val="nil"/>
              <w:bottom w:val="single" w:color="999999" w:sz="4" w:space="0"/>
              <w:right w:val="nil"/>
            </w:tcBorders>
          </w:tcPr>
          <w:p w14:paraId="3F814BCA">
            <w:pPr>
              <w:jc w:val="center"/>
            </w:pPr>
            <w:r>
              <w:rPr>
                <w:rFonts w:ascii="Times New Roman" w:hAnsi="Times New Roman"/>
                <w:sz w:val="17"/>
              </w:rPr>
              <w:t>28.73</w:t>
            </w:r>
          </w:p>
        </w:tc>
        <w:tc>
          <w:tcPr>
            <w:tcW w:w="1728" w:type="dxa"/>
            <w:tcBorders>
              <w:top w:val="single" w:color="999999" w:sz="4" w:space="0"/>
              <w:left w:val="nil"/>
              <w:bottom w:val="single" w:color="999999" w:sz="4" w:space="0"/>
              <w:right w:val="nil"/>
            </w:tcBorders>
          </w:tcPr>
          <w:p w14:paraId="7A51DC35">
            <w:pPr>
              <w:jc w:val="center"/>
            </w:pPr>
            <w:r>
              <w:rPr>
                <w:rFonts w:ascii="Times New Roman" w:hAnsi="Times New Roman"/>
                <w:sz w:val="17"/>
              </w:rPr>
              <w:t>35.44</w:t>
            </w:r>
          </w:p>
        </w:tc>
      </w:tr>
    </w:tbl>
    <w:p w14:paraId="5F021537"/>
    <w:p w14:paraId="44CB47F3">
      <w:pPr>
        <w:pStyle w:val="19"/>
        <w:spacing w:after="80"/>
      </w:pPr>
      <w:r>
        <w:rPr>
          <w:rFonts w:ascii="Times New Roman" w:hAnsi="Times New Roman"/>
          <w:b w:val="0"/>
          <w:i w:val="0"/>
          <w:sz w:val="20"/>
        </w:rPr>
        <w:t>DAFB-CLS maintains consistent gains: CorLoc reaches 72.96% (+11.4 pp over LaSt-ViT, +18.2 pp over TokenCut) and Mask IoU reaches 28.73% (+15.8 pp over LaSt-ViT). The cross-dataset Mask IoU improvement (+15.8 pp) closely tracks the VOC improvement (+18.0 pp), indicating that the adaptive soft mask generalizes robustly to unseen object categories and scenes.</w:t>
      </w:r>
    </w:p>
    <w:p w14:paraId="702E5707">
      <w:pPr>
        <w:pStyle w:val="5"/>
      </w:pPr>
      <w:r>
        <w:t>Open-Vocabulary Segmentation</w:t>
      </w:r>
    </w:p>
    <w:p w14:paraId="47E5E7D0">
      <w:pPr>
        <w:pStyle w:val="19"/>
        <w:spacing w:after="80"/>
      </w:pPr>
      <w:r>
        <w:rPr>
          <w:rFonts w:ascii="Times New Roman" w:hAnsi="Times New Roman"/>
          <w:b w:val="0"/>
          <w:i w:val="0"/>
          <w:sz w:val="20"/>
        </w:rPr>
        <w:t>We further evaluate DAFB-CLS as a segmentation head on OpenCLIP ViT-B/16. Table III reports mIoU on the VOC 2012 segmentation task. DAFB-CLS achieves 61.70% mIoU, improving over the MaskCLIP baseline by +2.7 pp. The background class reaches 89.2% IoU, and several foreground classes benefit substantially from the dual CLS decoupling.</w:t>
      </w:r>
    </w:p>
    <w:p w14:paraId="0071FA01">
      <w:pPr>
        <w:spacing w:before="40" w:after="120"/>
        <w:jc w:val="center"/>
      </w:pPr>
      <w:r>
        <w:rPr>
          <w:rFonts w:ascii="Times New Roman" w:hAnsi="Times New Roman"/>
          <w:i/>
          <w:sz w:val="16"/>
        </w:rPr>
        <w:t>TABLE III. Open-Vocabulary Segmentation Results on VOC 2012 (OpenCLIP ViT-B/16)</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7DB61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shd w:val="clear" w:color="auto" w:fill="E8E8E8"/>
          </w:tcPr>
          <w:p w14:paraId="5E44207E">
            <w:pPr>
              <w:jc w:val="center"/>
            </w:pPr>
            <w:r>
              <w:rPr>
                <w:rFonts w:ascii="Times New Roman" w:hAnsi="Times New Roman"/>
                <w:b/>
                <w:sz w:val="17"/>
              </w:rPr>
              <w:t>Method</w:t>
            </w:r>
          </w:p>
        </w:tc>
        <w:tc>
          <w:tcPr>
            <w:tcW w:w="1440" w:type="dxa"/>
            <w:tcBorders>
              <w:top w:val="single" w:color="999999" w:sz="4" w:space="0"/>
              <w:left w:val="nil"/>
              <w:bottom w:val="single" w:color="999999" w:sz="4" w:space="0"/>
              <w:right w:val="nil"/>
            </w:tcBorders>
            <w:shd w:val="clear" w:color="auto" w:fill="E8E8E8"/>
          </w:tcPr>
          <w:p w14:paraId="62CF3D99">
            <w:pPr>
              <w:jc w:val="center"/>
            </w:pPr>
            <w:r>
              <w:rPr>
                <w:rFonts w:ascii="Times New Roman" w:hAnsi="Times New Roman"/>
                <w:b/>
                <w:sz w:val="17"/>
              </w:rPr>
              <w:t>Backbone</w:t>
            </w:r>
          </w:p>
        </w:tc>
        <w:tc>
          <w:tcPr>
            <w:tcW w:w="1440" w:type="dxa"/>
            <w:tcBorders>
              <w:top w:val="single" w:color="999999" w:sz="4" w:space="0"/>
              <w:left w:val="nil"/>
              <w:bottom w:val="single" w:color="999999" w:sz="4" w:space="0"/>
              <w:right w:val="nil"/>
            </w:tcBorders>
            <w:shd w:val="clear" w:color="auto" w:fill="E8E8E8"/>
          </w:tcPr>
          <w:p w14:paraId="45D7D98B">
            <w:pPr>
              <w:jc w:val="center"/>
            </w:pPr>
            <w:r>
              <w:rPr>
                <w:rFonts w:ascii="Times New Roman" w:hAnsi="Times New Roman"/>
                <w:b/>
                <w:sz w:val="17"/>
              </w:rPr>
              <w:t>mIoU ↑</w:t>
            </w:r>
          </w:p>
        </w:tc>
        <w:tc>
          <w:tcPr>
            <w:tcW w:w="1440" w:type="dxa"/>
            <w:tcBorders>
              <w:top w:val="single" w:color="999999" w:sz="4" w:space="0"/>
              <w:left w:val="nil"/>
              <w:bottom w:val="single" w:color="999999" w:sz="4" w:space="0"/>
              <w:right w:val="nil"/>
            </w:tcBorders>
            <w:shd w:val="clear" w:color="auto" w:fill="E8E8E8"/>
          </w:tcPr>
          <w:p w14:paraId="4AAE3E4B">
            <w:pPr>
              <w:jc w:val="center"/>
            </w:pPr>
            <w:r>
              <w:rPr>
                <w:rFonts w:ascii="Times New Roman" w:hAnsi="Times New Roman"/>
                <w:b/>
                <w:sz w:val="17"/>
              </w:rPr>
              <w:t>CorLoc ↑</w:t>
            </w:r>
          </w:p>
        </w:tc>
        <w:tc>
          <w:tcPr>
            <w:tcW w:w="1440" w:type="dxa"/>
            <w:tcBorders>
              <w:top w:val="single" w:color="999999" w:sz="4" w:space="0"/>
              <w:left w:val="nil"/>
              <w:bottom w:val="single" w:color="999999" w:sz="4" w:space="0"/>
              <w:right w:val="nil"/>
            </w:tcBorders>
            <w:shd w:val="clear" w:color="auto" w:fill="E8E8E8"/>
          </w:tcPr>
          <w:p w14:paraId="6AE8F407">
            <w:pPr>
              <w:jc w:val="center"/>
            </w:pPr>
            <w:r>
              <w:rPr>
                <w:rFonts w:ascii="Times New Roman" w:hAnsi="Times New Roman"/>
                <w:b/>
                <w:sz w:val="17"/>
              </w:rPr>
              <w:t>Mask IoU ↑</w:t>
            </w:r>
          </w:p>
        </w:tc>
        <w:tc>
          <w:tcPr>
            <w:tcW w:w="1440" w:type="dxa"/>
            <w:tcBorders>
              <w:top w:val="single" w:color="999999" w:sz="4" w:space="0"/>
              <w:left w:val="nil"/>
              <w:bottom w:val="single" w:color="999999" w:sz="4" w:space="0"/>
              <w:right w:val="nil"/>
            </w:tcBorders>
            <w:shd w:val="clear" w:color="auto" w:fill="E8E8E8"/>
          </w:tcPr>
          <w:p w14:paraId="5584FE0C">
            <w:pPr>
              <w:jc w:val="center"/>
            </w:pPr>
            <w:r>
              <w:rPr>
                <w:rFonts w:ascii="Times New Roman" w:hAnsi="Times New Roman"/>
                <w:b/>
                <w:sz w:val="17"/>
              </w:rPr>
              <w:t>PiB ↑</w:t>
            </w:r>
          </w:p>
        </w:tc>
      </w:tr>
      <w:tr w14:paraId="1A0BB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tcPr>
          <w:p w14:paraId="0EC59A45">
            <w:pPr>
              <w:jc w:val="left"/>
            </w:pPr>
            <w:r>
              <w:rPr>
                <w:rFonts w:ascii="Times New Roman" w:hAnsi="Times New Roman"/>
                <w:sz w:val="17"/>
              </w:rPr>
              <w:t>MaskCLIP</w:t>
            </w:r>
          </w:p>
        </w:tc>
        <w:tc>
          <w:tcPr>
            <w:tcW w:w="1440" w:type="dxa"/>
            <w:tcBorders>
              <w:top w:val="single" w:color="999999" w:sz="4" w:space="0"/>
              <w:left w:val="nil"/>
              <w:bottom w:val="single" w:color="999999" w:sz="4" w:space="0"/>
              <w:right w:val="nil"/>
            </w:tcBorders>
          </w:tcPr>
          <w:p w14:paraId="69FAB01E">
            <w:pPr>
              <w:jc w:val="center"/>
            </w:pPr>
            <w:r>
              <w:rPr>
                <w:rFonts w:ascii="Times New Roman" w:hAnsi="Times New Roman"/>
                <w:sz w:val="17"/>
              </w:rPr>
              <w:t>CLIP-B</w:t>
            </w:r>
          </w:p>
        </w:tc>
        <w:tc>
          <w:tcPr>
            <w:tcW w:w="1440" w:type="dxa"/>
            <w:tcBorders>
              <w:top w:val="single" w:color="999999" w:sz="4" w:space="0"/>
              <w:left w:val="nil"/>
              <w:bottom w:val="single" w:color="999999" w:sz="4" w:space="0"/>
              <w:right w:val="nil"/>
            </w:tcBorders>
          </w:tcPr>
          <w:p w14:paraId="5FD571A3">
            <w:pPr>
              <w:jc w:val="center"/>
            </w:pPr>
            <w:r>
              <w:rPr>
                <w:rFonts w:ascii="Times New Roman" w:hAnsi="Times New Roman"/>
                <w:sz w:val="17"/>
              </w:rPr>
              <w:t>59.02</w:t>
            </w:r>
          </w:p>
        </w:tc>
        <w:tc>
          <w:tcPr>
            <w:tcW w:w="1440" w:type="dxa"/>
            <w:tcBorders>
              <w:top w:val="single" w:color="999999" w:sz="4" w:space="0"/>
              <w:left w:val="nil"/>
              <w:bottom w:val="single" w:color="999999" w:sz="4" w:space="0"/>
              <w:right w:val="nil"/>
            </w:tcBorders>
          </w:tcPr>
          <w:p w14:paraId="08DBDDB5">
            <w:pPr>
              <w:jc w:val="center"/>
            </w:pPr>
            <w:r>
              <w:rPr>
                <w:rFonts w:ascii="Times New Roman" w:hAnsi="Times New Roman"/>
                <w:sz w:val="17"/>
              </w:rPr>
              <w:t>74.88</w:t>
            </w:r>
          </w:p>
        </w:tc>
        <w:tc>
          <w:tcPr>
            <w:tcW w:w="1440" w:type="dxa"/>
            <w:tcBorders>
              <w:top w:val="single" w:color="999999" w:sz="4" w:space="0"/>
              <w:left w:val="nil"/>
              <w:bottom w:val="single" w:color="999999" w:sz="4" w:space="0"/>
              <w:right w:val="nil"/>
            </w:tcBorders>
          </w:tcPr>
          <w:p w14:paraId="1B182547">
            <w:pPr>
              <w:jc w:val="center"/>
            </w:pPr>
            <w:r>
              <w:rPr>
                <w:rFonts w:ascii="Times New Roman" w:hAnsi="Times New Roman"/>
                <w:sz w:val="17"/>
              </w:rPr>
              <w:t>4.07</w:t>
            </w:r>
          </w:p>
        </w:tc>
        <w:tc>
          <w:tcPr>
            <w:tcW w:w="1440" w:type="dxa"/>
            <w:tcBorders>
              <w:top w:val="single" w:color="999999" w:sz="4" w:space="0"/>
              <w:left w:val="nil"/>
              <w:bottom w:val="single" w:color="999999" w:sz="4" w:space="0"/>
              <w:right w:val="nil"/>
            </w:tcBorders>
          </w:tcPr>
          <w:p w14:paraId="207C008B">
            <w:pPr>
              <w:jc w:val="center"/>
            </w:pPr>
            <w:r>
              <w:rPr>
                <w:rFonts w:ascii="Times New Roman" w:hAnsi="Times New Roman"/>
                <w:sz w:val="17"/>
              </w:rPr>
              <w:t>39.68</w:t>
            </w:r>
          </w:p>
        </w:tc>
      </w:tr>
      <w:tr w14:paraId="577DC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tcPr>
          <w:p w14:paraId="2E6D5974">
            <w:pPr>
              <w:jc w:val="left"/>
            </w:pPr>
            <w:r>
              <w:rPr>
                <w:rFonts w:ascii="Times New Roman" w:hAnsi="Times New Roman"/>
                <w:sz w:val="17"/>
              </w:rPr>
              <w:t>DAFB-CLS</w:t>
            </w:r>
          </w:p>
        </w:tc>
        <w:tc>
          <w:tcPr>
            <w:tcW w:w="1440" w:type="dxa"/>
            <w:tcBorders>
              <w:top w:val="single" w:color="999999" w:sz="4" w:space="0"/>
              <w:left w:val="nil"/>
              <w:bottom w:val="single" w:color="999999" w:sz="4" w:space="0"/>
              <w:right w:val="nil"/>
            </w:tcBorders>
          </w:tcPr>
          <w:p w14:paraId="55681B25">
            <w:pPr>
              <w:jc w:val="center"/>
            </w:pPr>
            <w:r>
              <w:rPr>
                <w:rFonts w:ascii="Times New Roman" w:hAnsi="Times New Roman"/>
                <w:sz w:val="17"/>
              </w:rPr>
              <w:t>CLIP-B</w:t>
            </w:r>
          </w:p>
        </w:tc>
        <w:tc>
          <w:tcPr>
            <w:tcW w:w="1440" w:type="dxa"/>
            <w:tcBorders>
              <w:top w:val="single" w:color="999999" w:sz="4" w:space="0"/>
              <w:left w:val="nil"/>
              <w:bottom w:val="single" w:color="999999" w:sz="4" w:space="0"/>
              <w:right w:val="nil"/>
            </w:tcBorders>
          </w:tcPr>
          <w:p w14:paraId="4B84F620">
            <w:pPr>
              <w:jc w:val="center"/>
            </w:pPr>
            <w:r>
              <w:rPr>
                <w:rFonts w:ascii="Times New Roman" w:hAnsi="Times New Roman"/>
                <w:sz w:val="17"/>
              </w:rPr>
              <w:t>61.70</w:t>
            </w:r>
          </w:p>
        </w:tc>
        <w:tc>
          <w:tcPr>
            <w:tcW w:w="1440" w:type="dxa"/>
            <w:tcBorders>
              <w:top w:val="single" w:color="999999" w:sz="4" w:space="0"/>
              <w:left w:val="nil"/>
              <w:bottom w:val="single" w:color="999999" w:sz="4" w:space="0"/>
              <w:right w:val="nil"/>
            </w:tcBorders>
          </w:tcPr>
          <w:p w14:paraId="6F2DCDEC">
            <w:pPr>
              <w:jc w:val="center"/>
            </w:pPr>
            <w:r>
              <w:rPr>
                <w:rFonts w:ascii="Times New Roman" w:hAnsi="Times New Roman"/>
                <w:sz w:val="17"/>
              </w:rPr>
              <w:t>77.29</w:t>
            </w:r>
          </w:p>
        </w:tc>
        <w:tc>
          <w:tcPr>
            <w:tcW w:w="1440" w:type="dxa"/>
            <w:tcBorders>
              <w:top w:val="single" w:color="999999" w:sz="4" w:space="0"/>
              <w:left w:val="nil"/>
              <w:bottom w:val="single" w:color="999999" w:sz="4" w:space="0"/>
              <w:right w:val="nil"/>
            </w:tcBorders>
          </w:tcPr>
          <w:p w14:paraId="137C49CF">
            <w:pPr>
              <w:jc w:val="center"/>
            </w:pPr>
            <w:r>
              <w:rPr>
                <w:rFonts w:ascii="Times New Roman" w:hAnsi="Times New Roman"/>
                <w:sz w:val="17"/>
              </w:rPr>
              <w:t>33.32</w:t>
            </w:r>
          </w:p>
        </w:tc>
        <w:tc>
          <w:tcPr>
            <w:tcW w:w="1440" w:type="dxa"/>
            <w:tcBorders>
              <w:top w:val="single" w:color="999999" w:sz="4" w:space="0"/>
              <w:left w:val="nil"/>
              <w:bottom w:val="single" w:color="999999" w:sz="4" w:space="0"/>
              <w:right w:val="nil"/>
            </w:tcBorders>
          </w:tcPr>
          <w:p w14:paraId="0832998F">
            <w:pPr>
              <w:jc w:val="center"/>
            </w:pPr>
            <w:r>
              <w:rPr>
                <w:rFonts w:ascii="Times New Roman" w:hAnsi="Times New Roman"/>
                <w:sz w:val="17"/>
              </w:rPr>
              <w:t>79.64</w:t>
            </w:r>
          </w:p>
        </w:tc>
      </w:tr>
    </w:tbl>
    <w:p w14:paraId="73C6761C"/>
    <w:p w14:paraId="1EC37E2E">
      <w:pPr>
        <w:pStyle w:val="5"/>
      </w:pPr>
      <w:r>
        <w:t>Cross-Dataset Consistency</w:t>
      </w:r>
    </w:p>
    <w:p w14:paraId="4FD42BBE">
      <w:pPr>
        <w:pStyle w:val="19"/>
        <w:spacing w:after="80"/>
      </w:pPr>
      <w:r>
        <w:rPr>
          <w:rFonts w:ascii="Times New Roman" w:hAnsi="Times New Roman"/>
          <w:b w:val="0"/>
          <w:i w:val="0"/>
          <w:sz w:val="20"/>
        </w:rPr>
        <w:t>Table IV summarizes DAFB-CLS improvements over the strongest aggregation baseline in each setting. CorLoc improves by +11.4–13.7 pp (DINO) and +2.4 pp (CLIP, where the MaskCLIP baseline is already strong at 74.88%). Mask IoU improves by +15.8–29.2 pp across all four comparisons — the most stable and impactful gain.</w:t>
      </w:r>
    </w:p>
    <w:p w14:paraId="0C2D1E5C">
      <w:pPr>
        <w:spacing w:before="40" w:after="120"/>
        <w:jc w:val="center"/>
      </w:pPr>
      <w:r>
        <w:rPr>
          <w:rFonts w:ascii="Times New Roman" w:hAnsi="Times New Roman"/>
          <w:i/>
          <w:sz w:val="16"/>
        </w:rPr>
        <w:t>TABLE IV. Cross-Dataset &amp; Cross-Backbone Consistency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2C34F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shd w:val="clear" w:color="auto" w:fill="E8E8E8"/>
          </w:tcPr>
          <w:p w14:paraId="3BE1CBAC">
            <w:pPr>
              <w:jc w:val="center"/>
            </w:pPr>
            <w:r>
              <w:rPr>
                <w:rFonts w:ascii="Times New Roman" w:hAnsi="Times New Roman"/>
                <w:b/>
                <w:sz w:val="17"/>
              </w:rPr>
              <w:t>Setting</w:t>
            </w:r>
          </w:p>
        </w:tc>
        <w:tc>
          <w:tcPr>
            <w:tcW w:w="1728" w:type="dxa"/>
            <w:tcBorders>
              <w:top w:val="single" w:color="999999" w:sz="4" w:space="0"/>
              <w:left w:val="nil"/>
              <w:bottom w:val="single" w:color="999999" w:sz="4" w:space="0"/>
              <w:right w:val="nil"/>
            </w:tcBorders>
            <w:shd w:val="clear" w:color="auto" w:fill="E8E8E8"/>
          </w:tcPr>
          <w:p w14:paraId="7490287A">
            <w:pPr>
              <w:jc w:val="center"/>
            </w:pPr>
            <w:r>
              <w:rPr>
                <w:rFonts w:ascii="Times New Roman" w:hAnsi="Times New Roman"/>
                <w:b/>
                <w:sz w:val="17"/>
              </w:rPr>
              <w:t>Backbone</w:t>
            </w:r>
          </w:p>
        </w:tc>
        <w:tc>
          <w:tcPr>
            <w:tcW w:w="1728" w:type="dxa"/>
            <w:tcBorders>
              <w:top w:val="single" w:color="999999" w:sz="4" w:space="0"/>
              <w:left w:val="nil"/>
              <w:bottom w:val="single" w:color="999999" w:sz="4" w:space="0"/>
              <w:right w:val="nil"/>
            </w:tcBorders>
            <w:shd w:val="clear" w:color="auto" w:fill="E8E8E8"/>
          </w:tcPr>
          <w:p w14:paraId="5208018B">
            <w:pPr>
              <w:jc w:val="center"/>
            </w:pPr>
            <w:r>
              <w:rPr>
                <w:rFonts w:ascii="Times New Roman" w:hAnsi="Times New Roman"/>
                <w:b/>
                <w:sz w:val="17"/>
              </w:rPr>
              <w:t>Dataset</w:t>
            </w:r>
          </w:p>
        </w:tc>
        <w:tc>
          <w:tcPr>
            <w:tcW w:w="1728" w:type="dxa"/>
            <w:tcBorders>
              <w:top w:val="single" w:color="999999" w:sz="4" w:space="0"/>
              <w:left w:val="nil"/>
              <w:bottom w:val="single" w:color="999999" w:sz="4" w:space="0"/>
              <w:right w:val="nil"/>
            </w:tcBorders>
            <w:shd w:val="clear" w:color="auto" w:fill="E8E8E8"/>
          </w:tcPr>
          <w:p w14:paraId="53601B3F">
            <w:pPr>
              <w:jc w:val="center"/>
            </w:pPr>
            <w:r>
              <w:rPr>
                <w:rFonts w:ascii="Times New Roman" w:hAnsi="Times New Roman"/>
                <w:b/>
                <w:sz w:val="17"/>
              </w:rPr>
              <w:t>Δ CorLoc (pp)</w:t>
            </w:r>
          </w:p>
        </w:tc>
        <w:tc>
          <w:tcPr>
            <w:tcW w:w="1728" w:type="dxa"/>
            <w:tcBorders>
              <w:top w:val="single" w:color="999999" w:sz="4" w:space="0"/>
              <w:left w:val="nil"/>
              <w:bottom w:val="single" w:color="999999" w:sz="4" w:space="0"/>
              <w:right w:val="nil"/>
            </w:tcBorders>
            <w:shd w:val="clear" w:color="auto" w:fill="E8E8E8"/>
          </w:tcPr>
          <w:p w14:paraId="69D7E3E3">
            <w:pPr>
              <w:jc w:val="center"/>
            </w:pPr>
            <w:r>
              <w:rPr>
                <w:rFonts w:ascii="Times New Roman" w:hAnsi="Times New Roman"/>
                <w:b/>
                <w:sz w:val="17"/>
              </w:rPr>
              <w:t>Δ Mask IoU (pp)</w:t>
            </w:r>
          </w:p>
        </w:tc>
      </w:tr>
      <w:tr w14:paraId="3FEB1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733846EE">
            <w:pPr>
              <w:jc w:val="left"/>
            </w:pPr>
            <w:r>
              <w:rPr>
                <w:rFonts w:ascii="Times New Roman" w:hAnsi="Times New Roman"/>
                <w:sz w:val="17"/>
              </w:rPr>
              <w:t>Object Discovery</w:t>
            </w:r>
          </w:p>
        </w:tc>
        <w:tc>
          <w:tcPr>
            <w:tcW w:w="1728" w:type="dxa"/>
            <w:tcBorders>
              <w:top w:val="single" w:color="999999" w:sz="4" w:space="0"/>
              <w:left w:val="nil"/>
              <w:bottom w:val="single" w:color="999999" w:sz="4" w:space="0"/>
              <w:right w:val="nil"/>
            </w:tcBorders>
          </w:tcPr>
          <w:p w14:paraId="348EA43C">
            <w:pPr>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59EE3BB8">
            <w:pPr>
              <w:jc w:val="center"/>
            </w:pPr>
            <w:r>
              <w:rPr>
                <w:rFonts w:ascii="Times New Roman" w:hAnsi="Times New Roman"/>
                <w:sz w:val="17"/>
              </w:rPr>
              <w:t>VOC</w:t>
            </w:r>
          </w:p>
        </w:tc>
        <w:tc>
          <w:tcPr>
            <w:tcW w:w="1728" w:type="dxa"/>
            <w:tcBorders>
              <w:top w:val="single" w:color="999999" w:sz="4" w:space="0"/>
              <w:left w:val="nil"/>
              <w:bottom w:val="single" w:color="999999" w:sz="4" w:space="0"/>
              <w:right w:val="nil"/>
            </w:tcBorders>
          </w:tcPr>
          <w:p w14:paraId="45EE01B6">
            <w:pPr>
              <w:jc w:val="center"/>
            </w:pPr>
            <w:r>
              <w:rPr>
                <w:rFonts w:ascii="Times New Roman" w:hAnsi="Times New Roman"/>
                <w:sz w:val="17"/>
              </w:rPr>
              <w:t>+13.7</w:t>
            </w:r>
          </w:p>
        </w:tc>
        <w:tc>
          <w:tcPr>
            <w:tcW w:w="1728" w:type="dxa"/>
            <w:tcBorders>
              <w:top w:val="single" w:color="999999" w:sz="4" w:space="0"/>
              <w:left w:val="nil"/>
              <w:bottom w:val="single" w:color="999999" w:sz="4" w:space="0"/>
              <w:right w:val="nil"/>
            </w:tcBorders>
          </w:tcPr>
          <w:p w14:paraId="66434952">
            <w:pPr>
              <w:jc w:val="center"/>
            </w:pPr>
            <w:r>
              <w:rPr>
                <w:rFonts w:ascii="Times New Roman" w:hAnsi="Times New Roman"/>
                <w:sz w:val="17"/>
              </w:rPr>
              <w:t>+18.0</w:t>
            </w:r>
          </w:p>
        </w:tc>
      </w:tr>
      <w:tr w14:paraId="711E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5D222EAF">
            <w:pPr>
              <w:jc w:val="left"/>
            </w:pPr>
            <w:r>
              <w:rPr>
                <w:rFonts w:ascii="Times New Roman" w:hAnsi="Times New Roman"/>
                <w:sz w:val="17"/>
              </w:rPr>
              <w:t>Object Discovery</w:t>
            </w:r>
          </w:p>
        </w:tc>
        <w:tc>
          <w:tcPr>
            <w:tcW w:w="1728" w:type="dxa"/>
            <w:tcBorders>
              <w:top w:val="single" w:color="999999" w:sz="4" w:space="0"/>
              <w:left w:val="nil"/>
              <w:bottom w:val="single" w:color="999999" w:sz="4" w:space="0"/>
              <w:right w:val="nil"/>
            </w:tcBorders>
          </w:tcPr>
          <w:p w14:paraId="660BC5CA">
            <w:pPr>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0AF4679E">
            <w:pPr>
              <w:jc w:val="center"/>
            </w:pPr>
            <w:r>
              <w:rPr>
                <w:rFonts w:ascii="Times New Roman" w:hAnsi="Times New Roman"/>
                <w:sz w:val="17"/>
              </w:rPr>
              <w:t>COCO</w:t>
            </w:r>
          </w:p>
        </w:tc>
        <w:tc>
          <w:tcPr>
            <w:tcW w:w="1728" w:type="dxa"/>
            <w:tcBorders>
              <w:top w:val="single" w:color="999999" w:sz="4" w:space="0"/>
              <w:left w:val="nil"/>
              <w:bottom w:val="single" w:color="999999" w:sz="4" w:space="0"/>
              <w:right w:val="nil"/>
            </w:tcBorders>
          </w:tcPr>
          <w:p w14:paraId="33D5EF82">
            <w:pPr>
              <w:jc w:val="center"/>
            </w:pPr>
            <w:r>
              <w:rPr>
                <w:rFonts w:ascii="Times New Roman" w:hAnsi="Times New Roman"/>
                <w:sz w:val="17"/>
              </w:rPr>
              <w:t>+11.4</w:t>
            </w:r>
          </w:p>
        </w:tc>
        <w:tc>
          <w:tcPr>
            <w:tcW w:w="1728" w:type="dxa"/>
            <w:tcBorders>
              <w:top w:val="single" w:color="999999" w:sz="4" w:space="0"/>
              <w:left w:val="nil"/>
              <w:bottom w:val="single" w:color="999999" w:sz="4" w:space="0"/>
              <w:right w:val="nil"/>
            </w:tcBorders>
          </w:tcPr>
          <w:p w14:paraId="4C8297C0">
            <w:pPr>
              <w:jc w:val="center"/>
            </w:pPr>
            <w:r>
              <w:rPr>
                <w:rFonts w:ascii="Times New Roman" w:hAnsi="Times New Roman"/>
                <w:sz w:val="17"/>
              </w:rPr>
              <w:t>+15.8</w:t>
            </w:r>
          </w:p>
        </w:tc>
      </w:tr>
      <w:tr w14:paraId="2CF11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736E5A81">
            <w:pPr>
              <w:jc w:val="left"/>
            </w:pPr>
            <w:r>
              <w:rPr>
                <w:rFonts w:ascii="Times New Roman" w:hAnsi="Times New Roman"/>
                <w:sz w:val="17"/>
              </w:rPr>
              <w:t>Segmentation</w:t>
            </w:r>
          </w:p>
        </w:tc>
        <w:tc>
          <w:tcPr>
            <w:tcW w:w="1728" w:type="dxa"/>
            <w:tcBorders>
              <w:top w:val="single" w:color="999999" w:sz="4" w:space="0"/>
              <w:left w:val="nil"/>
              <w:bottom w:val="single" w:color="999999" w:sz="4" w:space="0"/>
              <w:right w:val="nil"/>
            </w:tcBorders>
          </w:tcPr>
          <w:p w14:paraId="7C7EA43D">
            <w:pPr>
              <w:jc w:val="center"/>
            </w:pPr>
            <w:r>
              <w:rPr>
                <w:rFonts w:ascii="Times New Roman" w:hAnsi="Times New Roman"/>
                <w:sz w:val="17"/>
              </w:rPr>
              <w:t>CLIP-B</w:t>
            </w:r>
          </w:p>
        </w:tc>
        <w:tc>
          <w:tcPr>
            <w:tcW w:w="1728" w:type="dxa"/>
            <w:tcBorders>
              <w:top w:val="single" w:color="999999" w:sz="4" w:space="0"/>
              <w:left w:val="nil"/>
              <w:bottom w:val="single" w:color="999999" w:sz="4" w:space="0"/>
              <w:right w:val="nil"/>
            </w:tcBorders>
          </w:tcPr>
          <w:p w14:paraId="2164CDF6">
            <w:pPr>
              <w:jc w:val="center"/>
            </w:pPr>
            <w:r>
              <w:rPr>
                <w:rFonts w:ascii="Times New Roman" w:hAnsi="Times New Roman"/>
                <w:sz w:val="17"/>
              </w:rPr>
              <w:t>VOC</w:t>
            </w:r>
          </w:p>
        </w:tc>
        <w:tc>
          <w:tcPr>
            <w:tcW w:w="1728" w:type="dxa"/>
            <w:tcBorders>
              <w:top w:val="single" w:color="999999" w:sz="4" w:space="0"/>
              <w:left w:val="nil"/>
              <w:bottom w:val="single" w:color="999999" w:sz="4" w:space="0"/>
              <w:right w:val="nil"/>
            </w:tcBorders>
          </w:tcPr>
          <w:p w14:paraId="2AE718D9">
            <w:pPr>
              <w:jc w:val="center"/>
            </w:pPr>
            <w:r>
              <w:rPr>
                <w:rFonts w:ascii="Times New Roman" w:hAnsi="Times New Roman"/>
                <w:sz w:val="17"/>
              </w:rPr>
              <w:t>+2.4</w:t>
            </w:r>
          </w:p>
        </w:tc>
        <w:tc>
          <w:tcPr>
            <w:tcW w:w="1728" w:type="dxa"/>
            <w:tcBorders>
              <w:top w:val="single" w:color="999999" w:sz="4" w:space="0"/>
              <w:left w:val="nil"/>
              <w:bottom w:val="single" w:color="999999" w:sz="4" w:space="0"/>
              <w:right w:val="nil"/>
            </w:tcBorders>
          </w:tcPr>
          <w:p w14:paraId="212A3A3D">
            <w:pPr>
              <w:jc w:val="center"/>
            </w:pPr>
            <w:r>
              <w:rPr>
                <w:rFonts w:ascii="Times New Roman" w:hAnsi="Times New Roman"/>
                <w:sz w:val="17"/>
              </w:rPr>
              <w:t>+29.3</w:t>
            </w:r>
          </w:p>
        </w:tc>
      </w:tr>
    </w:tbl>
    <w:p w14:paraId="0F90DDCB"/>
    <w:p w14:paraId="2B0A294A">
      <w:pPr>
        <w:pStyle w:val="4"/>
      </w:pPr>
      <w:r>
        <w:t>C. Ablation Studies</w:t>
      </w:r>
    </w:p>
    <w:p w14:paraId="5E04EA9B">
      <w:pPr>
        <w:pStyle w:val="19"/>
        <w:spacing w:after="80"/>
      </w:pPr>
      <w:r>
        <w:rPr>
          <w:rFonts w:ascii="Times New Roman" w:hAnsi="Times New Roman"/>
          <w:b w:val="0"/>
          <w:i w:val="0"/>
          <w:sz w:val="20"/>
        </w:rPr>
        <w:t>To isolate the contribution of each component, we conduct systematic ablation on DINO ViT-S/16 + VOC. Each variant removes or replaces exactly one design choice. Table V reports the results.</w:t>
      </w:r>
    </w:p>
    <w:p w14:paraId="3B44DEF3">
      <w:pPr>
        <w:spacing w:before="40" w:after="120"/>
        <w:jc w:val="center"/>
      </w:pPr>
      <w:r>
        <w:rPr>
          <w:rFonts w:ascii="Times New Roman" w:hAnsi="Times New Roman"/>
          <w:i/>
          <w:sz w:val="16"/>
        </w:rPr>
        <w:t>TABLE V. Component Ablation on VOC 2012 (DINO ViT-S/16)</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63876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shd w:val="clear" w:color="auto" w:fill="E8E8E8"/>
          </w:tcPr>
          <w:p w14:paraId="16DB1085">
            <w:pPr>
              <w:jc w:val="center"/>
            </w:pPr>
            <w:r>
              <w:rPr>
                <w:rFonts w:ascii="Times New Roman" w:hAnsi="Times New Roman"/>
                <w:b/>
                <w:sz w:val="17"/>
              </w:rPr>
              <w:t>Variant</w:t>
            </w:r>
          </w:p>
        </w:tc>
        <w:tc>
          <w:tcPr>
            <w:tcW w:w="1728" w:type="dxa"/>
            <w:tcBorders>
              <w:top w:val="single" w:color="999999" w:sz="4" w:space="0"/>
              <w:left w:val="nil"/>
              <w:bottom w:val="single" w:color="999999" w:sz="4" w:space="0"/>
              <w:right w:val="nil"/>
            </w:tcBorders>
            <w:shd w:val="clear" w:color="auto" w:fill="E8E8E8"/>
          </w:tcPr>
          <w:p w14:paraId="0AD838AF">
            <w:pPr>
              <w:jc w:val="center"/>
            </w:pPr>
            <w:r>
              <w:rPr>
                <w:rFonts w:ascii="Times New Roman" w:hAnsi="Times New Roman"/>
                <w:b/>
                <w:sz w:val="17"/>
              </w:rPr>
              <w:t>CorLoc ↑</w:t>
            </w:r>
          </w:p>
        </w:tc>
        <w:tc>
          <w:tcPr>
            <w:tcW w:w="1728" w:type="dxa"/>
            <w:tcBorders>
              <w:top w:val="single" w:color="999999" w:sz="4" w:space="0"/>
              <w:left w:val="nil"/>
              <w:bottom w:val="single" w:color="999999" w:sz="4" w:space="0"/>
              <w:right w:val="nil"/>
            </w:tcBorders>
            <w:shd w:val="clear" w:color="auto" w:fill="E8E8E8"/>
          </w:tcPr>
          <w:p w14:paraId="0965A80D">
            <w:pPr>
              <w:jc w:val="center"/>
            </w:pPr>
            <w:r>
              <w:rPr>
                <w:rFonts w:ascii="Times New Roman" w:hAnsi="Times New Roman"/>
                <w:b/>
                <w:sz w:val="17"/>
              </w:rPr>
              <w:t>Mask IoU ↑</w:t>
            </w:r>
          </w:p>
        </w:tc>
        <w:tc>
          <w:tcPr>
            <w:tcW w:w="1728" w:type="dxa"/>
            <w:tcBorders>
              <w:top w:val="single" w:color="999999" w:sz="4" w:space="0"/>
              <w:left w:val="nil"/>
              <w:bottom w:val="single" w:color="999999" w:sz="4" w:space="0"/>
              <w:right w:val="nil"/>
            </w:tcBorders>
            <w:shd w:val="clear" w:color="auto" w:fill="E8E8E8"/>
          </w:tcPr>
          <w:p w14:paraId="0111BEA8">
            <w:pPr>
              <w:jc w:val="center"/>
            </w:pPr>
            <w:r>
              <w:rPr>
                <w:rFonts w:ascii="Times New Roman" w:hAnsi="Times New Roman"/>
                <w:b/>
                <w:sz w:val="17"/>
              </w:rPr>
              <w:t>PiB ↑</w:t>
            </w:r>
          </w:p>
        </w:tc>
        <w:tc>
          <w:tcPr>
            <w:tcW w:w="1728" w:type="dxa"/>
            <w:tcBorders>
              <w:top w:val="single" w:color="999999" w:sz="4" w:space="0"/>
              <w:left w:val="nil"/>
              <w:bottom w:val="single" w:color="999999" w:sz="4" w:space="0"/>
              <w:right w:val="nil"/>
            </w:tcBorders>
            <w:shd w:val="clear" w:color="auto" w:fill="E8E8E8"/>
          </w:tcPr>
          <w:p w14:paraId="0CDD8952">
            <w:pPr>
              <w:jc w:val="center"/>
            </w:pPr>
            <w:r>
              <w:rPr>
                <w:rFonts w:ascii="Times New Roman" w:hAnsi="Times New Roman"/>
                <w:b/>
                <w:sz w:val="17"/>
              </w:rPr>
              <w:t>Description</w:t>
            </w:r>
          </w:p>
        </w:tc>
      </w:tr>
      <w:tr w14:paraId="71218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67CE8607">
            <w:pPr>
              <w:jc w:val="left"/>
            </w:pPr>
            <w:r>
              <w:rPr>
                <w:rFonts w:ascii="Times New Roman" w:hAnsi="Times New Roman"/>
                <w:sz w:val="17"/>
              </w:rPr>
              <w:t>Baseline (raw ViT)</w:t>
            </w:r>
          </w:p>
        </w:tc>
        <w:tc>
          <w:tcPr>
            <w:tcW w:w="1728" w:type="dxa"/>
            <w:tcBorders>
              <w:top w:val="single" w:color="999999" w:sz="4" w:space="0"/>
              <w:left w:val="nil"/>
              <w:bottom w:val="single" w:color="999999" w:sz="4" w:space="0"/>
              <w:right w:val="nil"/>
            </w:tcBorders>
          </w:tcPr>
          <w:p w14:paraId="5BE0AAB7">
            <w:pPr>
              <w:jc w:val="center"/>
            </w:pPr>
            <w:r>
              <w:rPr>
                <w:rFonts w:ascii="Times New Roman" w:hAnsi="Times New Roman"/>
                <w:sz w:val="17"/>
              </w:rPr>
              <w:t>29.33</w:t>
            </w:r>
          </w:p>
        </w:tc>
        <w:tc>
          <w:tcPr>
            <w:tcW w:w="1728" w:type="dxa"/>
            <w:tcBorders>
              <w:top w:val="single" w:color="999999" w:sz="4" w:space="0"/>
              <w:left w:val="nil"/>
              <w:bottom w:val="single" w:color="999999" w:sz="4" w:space="0"/>
              <w:right w:val="nil"/>
            </w:tcBorders>
          </w:tcPr>
          <w:p w14:paraId="76760EB7">
            <w:pPr>
              <w:jc w:val="center"/>
            </w:pPr>
            <w:r>
              <w:rPr>
                <w:rFonts w:ascii="Times New Roman" w:hAnsi="Times New Roman"/>
                <w:sz w:val="17"/>
              </w:rPr>
              <w:t>30.76</w:t>
            </w:r>
          </w:p>
        </w:tc>
        <w:tc>
          <w:tcPr>
            <w:tcW w:w="1728" w:type="dxa"/>
            <w:tcBorders>
              <w:top w:val="single" w:color="999999" w:sz="4" w:space="0"/>
              <w:left w:val="nil"/>
              <w:bottom w:val="single" w:color="999999" w:sz="4" w:space="0"/>
              <w:right w:val="nil"/>
            </w:tcBorders>
          </w:tcPr>
          <w:p w14:paraId="6209E34E">
            <w:pPr>
              <w:jc w:val="center"/>
            </w:pPr>
            <w:r>
              <w:rPr>
                <w:rFonts w:ascii="Times New Roman" w:hAnsi="Times New Roman"/>
                <w:sz w:val="17"/>
              </w:rPr>
              <w:t>42.72</w:t>
            </w:r>
          </w:p>
        </w:tc>
        <w:tc>
          <w:tcPr>
            <w:tcW w:w="1728" w:type="dxa"/>
            <w:tcBorders>
              <w:top w:val="single" w:color="999999" w:sz="4" w:space="0"/>
              <w:left w:val="nil"/>
              <w:bottom w:val="single" w:color="999999" w:sz="4" w:space="0"/>
              <w:right w:val="nil"/>
            </w:tcBorders>
          </w:tcPr>
          <w:p w14:paraId="53553BCD">
            <w:pPr>
              <w:jc w:val="center"/>
            </w:pPr>
            <w:r>
              <w:rPr>
                <w:rFonts w:ascii="Times New Roman" w:hAnsi="Times New Roman"/>
                <w:sz w:val="17"/>
              </w:rPr>
              <w:t>All-ones mask, equal-weight CLS aggregation</w:t>
            </w:r>
          </w:p>
        </w:tc>
      </w:tr>
      <w:tr w14:paraId="19BB5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6265092B">
            <w:pPr>
              <w:jc w:val="left"/>
            </w:pPr>
            <w:r>
              <w:rPr>
                <w:rFonts w:ascii="Times New Roman" w:hAnsi="Times New Roman"/>
                <w:sz w:val="17"/>
              </w:rPr>
              <w:t>− Cues (no_cues)</w:t>
            </w:r>
          </w:p>
        </w:tc>
        <w:tc>
          <w:tcPr>
            <w:tcW w:w="1728" w:type="dxa"/>
            <w:tcBorders>
              <w:top w:val="single" w:color="999999" w:sz="4" w:space="0"/>
              <w:left w:val="nil"/>
              <w:bottom w:val="single" w:color="999999" w:sz="4" w:space="0"/>
              <w:right w:val="nil"/>
            </w:tcBorders>
          </w:tcPr>
          <w:p w14:paraId="6D78A88A">
            <w:pPr>
              <w:jc w:val="center"/>
            </w:pPr>
            <w:r>
              <w:rPr>
                <w:rFonts w:ascii="Times New Roman" w:hAnsi="Times New Roman"/>
                <w:sz w:val="17"/>
              </w:rPr>
              <w:t>47.48</w:t>
            </w:r>
          </w:p>
        </w:tc>
        <w:tc>
          <w:tcPr>
            <w:tcW w:w="1728" w:type="dxa"/>
            <w:tcBorders>
              <w:top w:val="single" w:color="999999" w:sz="4" w:space="0"/>
              <w:left w:val="nil"/>
              <w:bottom w:val="single" w:color="999999" w:sz="4" w:space="0"/>
              <w:right w:val="nil"/>
            </w:tcBorders>
          </w:tcPr>
          <w:p w14:paraId="5868A4DA">
            <w:pPr>
              <w:jc w:val="center"/>
            </w:pPr>
            <w:r>
              <w:rPr>
                <w:rFonts w:ascii="Times New Roman" w:hAnsi="Times New Roman"/>
                <w:sz w:val="17"/>
              </w:rPr>
              <w:t>30.16</w:t>
            </w:r>
          </w:p>
        </w:tc>
        <w:tc>
          <w:tcPr>
            <w:tcW w:w="1728" w:type="dxa"/>
            <w:tcBorders>
              <w:top w:val="single" w:color="999999" w:sz="4" w:space="0"/>
              <w:left w:val="nil"/>
              <w:bottom w:val="single" w:color="999999" w:sz="4" w:space="0"/>
              <w:right w:val="nil"/>
            </w:tcBorders>
          </w:tcPr>
          <w:p w14:paraId="14CDB934">
            <w:pPr>
              <w:jc w:val="center"/>
            </w:pPr>
            <w:r>
              <w:rPr>
                <w:rFonts w:ascii="Times New Roman" w:hAnsi="Times New Roman"/>
                <w:sz w:val="17"/>
              </w:rPr>
              <w:t>31.68</w:t>
            </w:r>
          </w:p>
        </w:tc>
        <w:tc>
          <w:tcPr>
            <w:tcW w:w="1728" w:type="dxa"/>
            <w:tcBorders>
              <w:top w:val="single" w:color="999999" w:sz="4" w:space="0"/>
              <w:left w:val="nil"/>
              <w:bottom w:val="single" w:color="999999" w:sz="4" w:space="0"/>
              <w:right w:val="nil"/>
            </w:tcBorders>
          </w:tcPr>
          <w:p w14:paraId="1CBCCA70">
            <w:pPr>
              <w:jc w:val="center"/>
            </w:pPr>
            <w:r>
              <w:rPr>
                <w:rFonts w:ascii="Times New Roman" w:hAnsi="Times New Roman"/>
                <w:sz w:val="17"/>
              </w:rPr>
              <w:t>All four foregroundness cues disabled</w:t>
            </w:r>
          </w:p>
        </w:tc>
      </w:tr>
      <w:tr w14:paraId="6E509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74280FB5">
            <w:pPr>
              <w:jc w:val="left"/>
            </w:pPr>
            <w:r>
              <w:rPr>
                <w:rFonts w:ascii="Times New Roman" w:hAnsi="Times New Roman"/>
                <w:sz w:val="17"/>
              </w:rPr>
              <w:t>− Budget (no_budget)</w:t>
            </w:r>
          </w:p>
        </w:tc>
        <w:tc>
          <w:tcPr>
            <w:tcW w:w="1728" w:type="dxa"/>
            <w:tcBorders>
              <w:top w:val="single" w:color="999999" w:sz="4" w:space="0"/>
              <w:left w:val="nil"/>
              <w:bottom w:val="single" w:color="999999" w:sz="4" w:space="0"/>
              <w:right w:val="nil"/>
            </w:tcBorders>
          </w:tcPr>
          <w:p w14:paraId="1A21997A">
            <w:pPr>
              <w:jc w:val="center"/>
            </w:pPr>
            <w:r>
              <w:rPr>
                <w:rFonts w:ascii="Times New Roman" w:hAnsi="Times New Roman"/>
                <w:sz w:val="17"/>
              </w:rPr>
              <w:t>79.78</w:t>
            </w:r>
          </w:p>
        </w:tc>
        <w:tc>
          <w:tcPr>
            <w:tcW w:w="1728" w:type="dxa"/>
            <w:tcBorders>
              <w:top w:val="single" w:color="999999" w:sz="4" w:space="0"/>
              <w:left w:val="nil"/>
              <w:bottom w:val="single" w:color="999999" w:sz="4" w:space="0"/>
              <w:right w:val="nil"/>
            </w:tcBorders>
          </w:tcPr>
          <w:p w14:paraId="7D3274AE">
            <w:pPr>
              <w:jc w:val="center"/>
            </w:pPr>
            <w:r>
              <w:rPr>
                <w:rFonts w:ascii="Times New Roman" w:hAnsi="Times New Roman"/>
                <w:sz w:val="17"/>
              </w:rPr>
              <w:t>13.91</w:t>
            </w:r>
          </w:p>
        </w:tc>
        <w:tc>
          <w:tcPr>
            <w:tcW w:w="1728" w:type="dxa"/>
            <w:tcBorders>
              <w:top w:val="single" w:color="999999" w:sz="4" w:space="0"/>
              <w:left w:val="nil"/>
              <w:bottom w:val="single" w:color="999999" w:sz="4" w:space="0"/>
              <w:right w:val="nil"/>
            </w:tcBorders>
          </w:tcPr>
          <w:p w14:paraId="726AD738">
            <w:pPr>
              <w:jc w:val="center"/>
            </w:pPr>
            <w:r>
              <w:rPr>
                <w:rFonts w:ascii="Times New Roman" w:hAnsi="Times New Roman"/>
                <w:sz w:val="17"/>
              </w:rPr>
              <w:t>53.62</w:t>
            </w:r>
          </w:p>
        </w:tc>
        <w:tc>
          <w:tcPr>
            <w:tcW w:w="1728" w:type="dxa"/>
            <w:tcBorders>
              <w:top w:val="single" w:color="999999" w:sz="4" w:space="0"/>
              <w:left w:val="nil"/>
              <w:bottom w:val="single" w:color="999999" w:sz="4" w:space="0"/>
              <w:right w:val="nil"/>
            </w:tcBorders>
          </w:tcPr>
          <w:p w14:paraId="1DC06A05">
            <w:pPr>
              <w:jc w:val="center"/>
            </w:pPr>
            <w:r>
              <w:rPr>
                <w:rFonts w:ascii="Times New Roman" w:hAnsi="Times New Roman"/>
                <w:sz w:val="17"/>
              </w:rPr>
              <w:t>Adaptive threshold → fixed Top-30%</w:t>
            </w:r>
          </w:p>
        </w:tc>
      </w:tr>
      <w:tr w14:paraId="12B51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1A71A43B">
            <w:pPr>
              <w:jc w:val="left"/>
            </w:pPr>
            <w:r>
              <w:rPr>
                <w:rFonts w:ascii="Times New Roman" w:hAnsi="Times New Roman"/>
                <w:sz w:val="17"/>
              </w:rPr>
              <w:t>− Dual CLS</w:t>
            </w:r>
          </w:p>
        </w:tc>
        <w:tc>
          <w:tcPr>
            <w:tcW w:w="1728" w:type="dxa"/>
            <w:tcBorders>
              <w:top w:val="single" w:color="999999" w:sz="4" w:space="0"/>
              <w:left w:val="nil"/>
              <w:bottom w:val="single" w:color="999999" w:sz="4" w:space="0"/>
              <w:right w:val="nil"/>
            </w:tcBorders>
          </w:tcPr>
          <w:p w14:paraId="7498D7EF">
            <w:pPr>
              <w:jc w:val="center"/>
            </w:pPr>
            <w:r>
              <w:rPr>
                <w:rFonts w:ascii="Times New Roman" w:hAnsi="Times New Roman"/>
                <w:sz w:val="17"/>
              </w:rPr>
              <w:t>78.4</w:t>
            </w:r>
          </w:p>
        </w:tc>
        <w:tc>
          <w:tcPr>
            <w:tcW w:w="1728" w:type="dxa"/>
            <w:tcBorders>
              <w:top w:val="single" w:color="999999" w:sz="4" w:space="0"/>
              <w:left w:val="nil"/>
              <w:bottom w:val="single" w:color="999999" w:sz="4" w:space="0"/>
              <w:right w:val="nil"/>
            </w:tcBorders>
          </w:tcPr>
          <w:p w14:paraId="58C7B216">
            <w:pPr>
              <w:jc w:val="center"/>
            </w:pPr>
            <w:r>
              <w:rPr>
                <w:rFonts w:ascii="Times New Roman" w:hAnsi="Times New Roman"/>
                <w:sz w:val="17"/>
              </w:rPr>
              <w:t>31.25</w:t>
            </w:r>
          </w:p>
        </w:tc>
        <w:tc>
          <w:tcPr>
            <w:tcW w:w="1728" w:type="dxa"/>
            <w:tcBorders>
              <w:top w:val="single" w:color="999999" w:sz="4" w:space="0"/>
              <w:left w:val="nil"/>
              <w:bottom w:val="single" w:color="999999" w:sz="4" w:space="0"/>
              <w:right w:val="nil"/>
            </w:tcBorders>
          </w:tcPr>
          <w:p w14:paraId="4860719F">
            <w:pPr>
              <w:jc w:val="center"/>
            </w:pPr>
            <w:r>
              <w:rPr>
                <w:rFonts w:ascii="Times New Roman" w:hAnsi="Times New Roman"/>
                <w:sz w:val="17"/>
              </w:rPr>
              <w:t>33.13</w:t>
            </w:r>
          </w:p>
        </w:tc>
        <w:tc>
          <w:tcPr>
            <w:tcW w:w="1728" w:type="dxa"/>
            <w:tcBorders>
              <w:top w:val="single" w:color="999999" w:sz="4" w:space="0"/>
              <w:left w:val="nil"/>
              <w:bottom w:val="single" w:color="999999" w:sz="4" w:space="0"/>
              <w:right w:val="nil"/>
            </w:tcBorders>
          </w:tcPr>
          <w:p w14:paraId="6F406E0B">
            <w:pPr>
              <w:jc w:val="center"/>
            </w:pPr>
            <w:r>
              <w:rPr>
                <w:rFonts w:ascii="Times New Roman" w:hAnsi="Times New Roman"/>
                <w:sz w:val="17"/>
              </w:rPr>
              <w:t>Background CLS stream removed</w:t>
            </w:r>
          </w:p>
        </w:tc>
      </w:tr>
      <w:tr w14:paraId="76B1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2D93C261">
            <w:pPr>
              <w:jc w:val="left"/>
            </w:pPr>
            <w:r>
              <w:rPr>
                <w:rFonts w:ascii="Times New Roman" w:hAnsi="Times New Roman"/>
                <w:sz w:val="17"/>
              </w:rPr>
              <w:t>Shared Depth</w:t>
            </w:r>
          </w:p>
        </w:tc>
        <w:tc>
          <w:tcPr>
            <w:tcW w:w="1728" w:type="dxa"/>
            <w:tcBorders>
              <w:top w:val="single" w:color="999999" w:sz="4" w:space="0"/>
              <w:left w:val="nil"/>
              <w:bottom w:val="single" w:color="999999" w:sz="4" w:space="0"/>
              <w:right w:val="nil"/>
            </w:tcBorders>
          </w:tcPr>
          <w:p w14:paraId="6C1D97DE">
            <w:pPr>
              <w:jc w:val="center"/>
            </w:pPr>
            <w:r>
              <w:rPr>
                <w:rFonts w:ascii="Times New Roman" w:hAnsi="Times New Roman"/>
                <w:sz w:val="17"/>
              </w:rPr>
              <w:t>77.43</w:t>
            </w:r>
          </w:p>
        </w:tc>
        <w:tc>
          <w:tcPr>
            <w:tcW w:w="1728" w:type="dxa"/>
            <w:tcBorders>
              <w:top w:val="single" w:color="999999" w:sz="4" w:space="0"/>
              <w:left w:val="nil"/>
              <w:bottom w:val="single" w:color="999999" w:sz="4" w:space="0"/>
              <w:right w:val="nil"/>
            </w:tcBorders>
          </w:tcPr>
          <w:p w14:paraId="2C09B8B2">
            <w:pPr>
              <w:jc w:val="center"/>
            </w:pPr>
            <w:r>
              <w:rPr>
                <w:rFonts w:ascii="Times New Roman" w:hAnsi="Times New Roman"/>
                <w:sz w:val="17"/>
              </w:rPr>
              <w:t>31.18</w:t>
            </w:r>
          </w:p>
        </w:tc>
        <w:tc>
          <w:tcPr>
            <w:tcW w:w="1728" w:type="dxa"/>
            <w:tcBorders>
              <w:top w:val="single" w:color="999999" w:sz="4" w:space="0"/>
              <w:left w:val="nil"/>
              <w:bottom w:val="single" w:color="999999" w:sz="4" w:space="0"/>
              <w:right w:val="nil"/>
            </w:tcBorders>
          </w:tcPr>
          <w:p w14:paraId="2392F663">
            <w:pPr>
              <w:jc w:val="center"/>
            </w:pPr>
            <w:r>
              <w:rPr>
                <w:rFonts w:ascii="Times New Roman" w:hAnsi="Times New Roman"/>
                <w:sz w:val="17"/>
              </w:rPr>
              <w:t>28.36</w:t>
            </w:r>
          </w:p>
        </w:tc>
        <w:tc>
          <w:tcPr>
            <w:tcW w:w="1728" w:type="dxa"/>
            <w:tcBorders>
              <w:top w:val="single" w:color="999999" w:sz="4" w:space="0"/>
              <w:left w:val="nil"/>
              <w:bottom w:val="single" w:color="999999" w:sz="4" w:space="0"/>
              <w:right w:val="nil"/>
            </w:tcBorders>
          </w:tcPr>
          <w:p w14:paraId="7720C373">
            <w:pPr>
              <w:jc w:val="center"/>
            </w:pPr>
            <w:r>
              <w:rPr>
                <w:rFonts w:ascii="Times New Roman" w:hAnsi="Times New Roman"/>
                <w:sz w:val="17"/>
              </w:rPr>
              <w:t>F/B streams share one depth attention</w:t>
            </w:r>
          </w:p>
        </w:tc>
      </w:tr>
      <w:tr w14:paraId="62406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2ABD37B8">
            <w:pPr>
              <w:jc w:val="left"/>
            </w:pPr>
            <w:r>
              <w:rPr>
                <w:rFonts w:ascii="Times New Roman" w:hAnsi="Times New Roman"/>
                <w:sz w:val="17"/>
              </w:rPr>
              <w:t>Hard Top-K</w:t>
            </w:r>
          </w:p>
        </w:tc>
        <w:tc>
          <w:tcPr>
            <w:tcW w:w="1728" w:type="dxa"/>
            <w:tcBorders>
              <w:top w:val="single" w:color="999999" w:sz="4" w:space="0"/>
              <w:left w:val="nil"/>
              <w:bottom w:val="single" w:color="999999" w:sz="4" w:space="0"/>
              <w:right w:val="nil"/>
            </w:tcBorders>
          </w:tcPr>
          <w:p w14:paraId="353F9140">
            <w:pPr>
              <w:jc w:val="center"/>
            </w:pPr>
            <w:r>
              <w:rPr>
                <w:rFonts w:ascii="Times New Roman" w:hAnsi="Times New Roman"/>
                <w:sz w:val="17"/>
              </w:rPr>
              <w:t>81.71</w:t>
            </w:r>
          </w:p>
        </w:tc>
        <w:tc>
          <w:tcPr>
            <w:tcW w:w="1728" w:type="dxa"/>
            <w:tcBorders>
              <w:top w:val="single" w:color="999999" w:sz="4" w:space="0"/>
              <w:left w:val="nil"/>
              <w:bottom w:val="single" w:color="999999" w:sz="4" w:space="0"/>
              <w:right w:val="nil"/>
            </w:tcBorders>
          </w:tcPr>
          <w:p w14:paraId="06E68DB5">
            <w:pPr>
              <w:jc w:val="center"/>
            </w:pPr>
            <w:r>
              <w:rPr>
                <w:rFonts w:ascii="Times New Roman" w:hAnsi="Times New Roman"/>
                <w:sz w:val="17"/>
              </w:rPr>
              <w:t>22.68</w:t>
            </w:r>
          </w:p>
        </w:tc>
        <w:tc>
          <w:tcPr>
            <w:tcW w:w="1728" w:type="dxa"/>
            <w:tcBorders>
              <w:top w:val="single" w:color="999999" w:sz="4" w:space="0"/>
              <w:left w:val="nil"/>
              <w:bottom w:val="single" w:color="999999" w:sz="4" w:space="0"/>
              <w:right w:val="nil"/>
            </w:tcBorders>
          </w:tcPr>
          <w:p w14:paraId="76103920">
            <w:pPr>
              <w:jc w:val="center"/>
            </w:pPr>
            <w:r>
              <w:rPr>
                <w:rFonts w:ascii="Times New Roman" w:hAnsi="Times New Roman"/>
                <w:sz w:val="17"/>
              </w:rPr>
              <w:t>51.76</w:t>
            </w:r>
          </w:p>
        </w:tc>
        <w:tc>
          <w:tcPr>
            <w:tcW w:w="1728" w:type="dxa"/>
            <w:tcBorders>
              <w:top w:val="single" w:color="999999" w:sz="4" w:space="0"/>
              <w:left w:val="nil"/>
              <w:bottom w:val="single" w:color="999999" w:sz="4" w:space="0"/>
              <w:right w:val="nil"/>
            </w:tcBorders>
          </w:tcPr>
          <w:p w14:paraId="1DD66280">
            <w:pPr>
              <w:jc w:val="center"/>
            </w:pPr>
            <w:r>
              <w:rPr>
                <w:rFonts w:ascii="Times New Roman" w:hAnsi="Times New Roman"/>
                <w:sz w:val="17"/>
              </w:rPr>
              <w:t>Soft mask → hard binary Top-K selection</w:t>
            </w:r>
          </w:p>
        </w:tc>
      </w:tr>
      <w:tr w14:paraId="5B335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416B542E">
            <w:pPr>
              <w:jc w:val="left"/>
            </w:pPr>
            <w:r>
              <w:rPr>
                <w:rFonts w:ascii="Times New Roman" w:hAnsi="Times New Roman"/>
                <w:sz w:val="17"/>
              </w:rPr>
              <w:t>Full DAFB-CLS</w:t>
            </w:r>
          </w:p>
        </w:tc>
        <w:tc>
          <w:tcPr>
            <w:tcW w:w="1728" w:type="dxa"/>
            <w:tcBorders>
              <w:top w:val="single" w:color="999999" w:sz="4" w:space="0"/>
              <w:left w:val="nil"/>
              <w:bottom w:val="single" w:color="999999" w:sz="4" w:space="0"/>
              <w:right w:val="nil"/>
            </w:tcBorders>
          </w:tcPr>
          <w:p w14:paraId="0EE62994">
            <w:pPr>
              <w:jc w:val="center"/>
            </w:pPr>
            <w:r>
              <w:rPr>
                <w:rFonts w:ascii="Times New Roman" w:hAnsi="Times New Roman"/>
                <w:sz w:val="17"/>
              </w:rPr>
              <w:t>79.43</w:t>
            </w:r>
          </w:p>
        </w:tc>
        <w:tc>
          <w:tcPr>
            <w:tcW w:w="1728" w:type="dxa"/>
            <w:tcBorders>
              <w:top w:val="single" w:color="999999" w:sz="4" w:space="0"/>
              <w:left w:val="nil"/>
              <w:bottom w:val="single" w:color="999999" w:sz="4" w:space="0"/>
              <w:right w:val="nil"/>
            </w:tcBorders>
          </w:tcPr>
          <w:p w14:paraId="253F0E3C">
            <w:pPr>
              <w:jc w:val="center"/>
            </w:pPr>
            <w:r>
              <w:rPr>
                <w:rFonts w:ascii="Times New Roman" w:hAnsi="Times New Roman"/>
                <w:sz w:val="17"/>
              </w:rPr>
              <w:t>31.27</w:t>
            </w:r>
          </w:p>
        </w:tc>
        <w:tc>
          <w:tcPr>
            <w:tcW w:w="1728" w:type="dxa"/>
            <w:tcBorders>
              <w:top w:val="single" w:color="999999" w:sz="4" w:space="0"/>
              <w:left w:val="nil"/>
              <w:bottom w:val="single" w:color="999999" w:sz="4" w:space="0"/>
              <w:right w:val="nil"/>
            </w:tcBorders>
          </w:tcPr>
          <w:p w14:paraId="2966B162">
            <w:pPr>
              <w:jc w:val="center"/>
            </w:pPr>
            <w:r>
              <w:rPr>
                <w:rFonts w:ascii="Times New Roman" w:hAnsi="Times New Roman"/>
                <w:sz w:val="17"/>
              </w:rPr>
              <w:t>45.07</w:t>
            </w:r>
          </w:p>
        </w:tc>
        <w:tc>
          <w:tcPr>
            <w:tcW w:w="1728" w:type="dxa"/>
            <w:tcBorders>
              <w:top w:val="single" w:color="999999" w:sz="4" w:space="0"/>
              <w:left w:val="nil"/>
              <w:bottom w:val="single" w:color="999999" w:sz="4" w:space="0"/>
              <w:right w:val="nil"/>
            </w:tcBorders>
          </w:tcPr>
          <w:p w14:paraId="24F1E673">
            <w:pPr>
              <w:jc w:val="center"/>
            </w:pPr>
            <w:r>
              <w:rPr>
                <w:rFonts w:ascii="Times New Roman" w:hAnsi="Times New Roman"/>
                <w:sz w:val="17"/>
              </w:rPr>
              <w:t>All components active</w:t>
            </w:r>
          </w:p>
        </w:tc>
      </w:tr>
    </w:tbl>
    <w:p w14:paraId="49EE4541"/>
    <w:p w14:paraId="3CE7DBEB">
      <w:pPr>
        <w:pStyle w:val="19"/>
        <w:spacing w:after="80"/>
      </w:pPr>
      <w:r>
        <w:rPr>
          <w:rFonts w:ascii="Times New Roman" w:hAnsi="Times New Roman"/>
          <w:b w:val="0"/>
          <w:i w:val="0"/>
          <w:sz w:val="20"/>
        </w:rPr>
        <w:t>Multi-cue foregroundness is the foundation. Removing all four cues (−Cues) collapses CorLoc from 79.43% to 47.48% (−32.0 pp). This is the single largest drop, confirming that the foregroundness score provides the essential spatial selection signal. Without cues, the model receives no foreground-background signal and degenerates to near-random patch averaging.</w:t>
      </w:r>
    </w:p>
    <w:p w14:paraId="6BABBADF">
      <w:pPr>
        <w:pStyle w:val="19"/>
        <w:spacing w:after="80"/>
      </w:pPr>
      <w:r>
        <w:rPr>
          <w:rFonts w:ascii="Times New Roman" w:hAnsi="Times New Roman"/>
          <w:b w:val="0"/>
          <w:i w:val="0"/>
          <w:sz w:val="20"/>
        </w:rPr>
        <w:t>Adaptive budget prevents masking collapse. Replacing the adaptive threshold with fixed Top-30% (−Budget) produces a revealing trade-off: CorLoc remains high (79.78%) but Mask IoU crashes from 31.27% to 13.91% (−17.4 pp). The fixed ratio forces the model to always predict 30% of patches as foreground, regardless of actual object size.</w:t>
      </w:r>
    </w:p>
    <w:p w14:paraId="07AA7590">
      <w:pPr>
        <w:pStyle w:val="19"/>
        <w:spacing w:after="80"/>
      </w:pPr>
      <w:r>
        <w:rPr>
          <w:rFonts w:ascii="Times New Roman" w:hAnsi="Times New Roman"/>
          <w:b w:val="0"/>
          <w:i w:val="0"/>
          <w:sz w:val="20"/>
        </w:rPr>
        <w:t>Dual CLS enables spatial localization. Removing the background stream (−Dual CLS) drops PiB from 45.07% to 33.13% (−11.9 pp), demonstrating that maintaining an explicit background representation is critical for the foreground stream to concentrate on object regions.</w:t>
      </w:r>
    </w:p>
    <w:p w14:paraId="2B53E4DA">
      <w:pPr>
        <w:pStyle w:val="19"/>
        <w:spacing w:after="80"/>
      </w:pPr>
      <w:r>
        <w:rPr>
          <w:rFonts w:ascii="Times New Roman" w:hAnsi="Times New Roman"/>
          <w:b w:val="0"/>
          <w:i w:val="0"/>
          <w:sz w:val="20"/>
        </w:rPr>
        <w:t>Independent depth attention benefits each stream. Sharing depth attention (Shared Depth) reduces PiB to 28.36% (−16.7 pp), the largest PiB drop among all ablations. Foreground and background require distinct depth aggregation patterns: foreground benefits from later semantic layers (L9–L12), while background relies on earlier spatial layers (L3–L6).</w:t>
      </w:r>
    </w:p>
    <w:p w14:paraId="0466E77D">
      <w:pPr>
        <w:pStyle w:val="19"/>
        <w:spacing w:after="80"/>
      </w:pPr>
      <w:r>
        <w:rPr>
          <w:rFonts w:ascii="Times New Roman" w:hAnsi="Times New Roman"/>
          <w:b w:val="0"/>
          <w:i w:val="0"/>
          <w:sz w:val="20"/>
        </w:rPr>
        <w:t>Summary. The ablation reveals a clear division of labor: multi-cue foregroundness drives CorLoc (spatial selection), adaptive budget drives Mask IoU (mask precision), and dual CLS with independent depth attention drives PiB (representation quality). Each component addresses a distinct failure mode, and all are necessary for the full framework.</w:t>
      </w:r>
    </w:p>
    <w:p w14:paraId="004664A3">
      <w:pPr>
        <w:pStyle w:val="4"/>
      </w:pPr>
      <w:r>
        <w:t>D. Qualitative Analysis</w:t>
      </w:r>
    </w:p>
    <w:p w14:paraId="63EFF922">
      <w:pPr>
        <w:jc w:val="center"/>
      </w:pPr>
      <w:r>
        <w:drawing>
          <wp:inline distT="0" distB="0" distL="114300" distR="114300">
            <wp:extent cx="5303520" cy="680085"/>
            <wp:effectExtent l="0" t="0" r="508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680529"/>
                    </a:xfrm>
                    <a:prstGeom prst="rect">
                      <a:avLst/>
                    </a:prstGeom>
                  </pic:spPr>
                </pic:pic>
              </a:graphicData>
            </a:graphic>
          </wp:inline>
        </w:drawing>
      </w:r>
    </w:p>
    <w:p w14:paraId="67864B48">
      <w:pPr>
        <w:spacing w:before="40" w:after="120"/>
        <w:jc w:val="center"/>
      </w:pPr>
      <w:r>
        <w:rPr>
          <w:rFonts w:ascii="Times New Roman" w:hAnsi="Times New Roman"/>
          <w:i/>
          <w:sz w:val="16"/>
        </w:rPr>
        <w:t>Fig. 3. Qualitative foreground mask visualization. Each row: input image, ground-truth mask, predicted foreground mask, predicted background mask, frequency stability score heatmap. Columns show representative examples from textured, multi-object, small-object, and stable-background scenarios.</w:t>
      </w:r>
    </w:p>
    <w:p w14:paraId="1ABB04F0">
      <w:pPr>
        <w:pStyle w:val="19"/>
        <w:spacing w:after="80"/>
      </w:pPr>
      <w:r>
        <w:rPr>
          <w:rFonts w:ascii="Times New Roman" w:hAnsi="Times New Roman"/>
          <w:b w:val="0"/>
          <w:i w:val="0"/>
          <w:sz w:val="20"/>
        </w:rPr>
        <w:t>Fig. 3 presents representative mask predictions across diverse scene types. DAFB-CLS produces clean foreground masks on textured objects (animals, vehicles) where multi-cue signals are strong and consistent. On multi-object scenes, the dual CLS mechanism successfully separates multiple foreground instances from the background. Small objects remain moderately challenging — while the adaptive budget allocates appropriate foreground ratios, the 16×16 patch resolution of ViT-S/16 limits fine-grained boundary precision. The stable background scenario (sky, water, walls) is the primary failure mode, discussed in §E (Stress Test).</w:t>
      </w:r>
    </w:p>
    <w:p w14:paraId="580E0128">
      <w:pPr>
        <w:jc w:val="center"/>
      </w:pPr>
      <w:r>
        <w:drawing>
          <wp:inline distT="0" distB="0" distL="114300" distR="114300">
            <wp:extent cx="5029200" cy="32213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3221357"/>
                    </a:xfrm>
                    <a:prstGeom prst="rect">
                      <a:avLst/>
                    </a:prstGeom>
                  </pic:spPr>
                </pic:pic>
              </a:graphicData>
            </a:graphic>
          </wp:inline>
        </w:drawing>
      </w:r>
    </w:p>
    <w:p w14:paraId="52788AAA">
      <w:pPr>
        <w:spacing w:before="40" w:after="120"/>
        <w:jc w:val="center"/>
      </w:pPr>
      <w:r>
        <w:rPr>
          <w:rFonts w:ascii="Times New Roman" w:hAnsi="Times New Roman"/>
          <w:i/>
          <w:sz w:val="16"/>
        </w:rPr>
        <w:t>Fig. 4. Depth attention weight analysis. Foreground and background depth attention weights across layers L3–L12 for representative images. Foreground attention concentrates on later semantic layers; background attention distributes more evenly, with emphasis on early spatial layers.</w:t>
      </w:r>
    </w:p>
    <w:p w14:paraId="0059A490">
      <w:pPr>
        <w:pStyle w:val="19"/>
        <w:spacing w:after="80"/>
      </w:pPr>
      <w:r>
        <w:rPr>
          <w:rFonts w:ascii="Times New Roman" w:hAnsi="Times New Roman"/>
          <w:b w:val="0"/>
          <w:i w:val="0"/>
          <w:sz w:val="20"/>
        </w:rPr>
        <w:t>Fig. 4 visualizes the learned foreground and background depth attention weights across layers {3, 6, 9, 12}. Two consistent patterns emerge. First, foreground attention concentrates on later layers (L9–L12), consistent with the intuition that semantic object representations develop in deeper ViT blocks. Second, background attention distributes more evenly, with notable weight on earlier layers (L3–L6) that retain fine-grained spatial structure useful for identifying non-object regions. The divergence between the two attention patterns validates the design choice of independent depth attention modules — a shared attention would be forced to compromise between these opposing preferences.</w:t>
      </w:r>
    </w:p>
    <w:p w14:paraId="2D0B4FA9">
      <w:pPr>
        <w:pStyle w:val="4"/>
      </w:pPr>
      <w:r>
        <w:t>E. Stress Test</w:t>
      </w:r>
    </w:p>
    <w:p w14:paraId="0FBCEB26">
      <w:pPr>
        <w:pStyle w:val="19"/>
        <w:spacing w:after="80"/>
      </w:pPr>
      <w:r>
        <w:rPr>
          <w:rFonts w:ascii="Times New Roman" w:hAnsi="Times New Roman"/>
          <w:b w:val="0"/>
          <w:i w:val="0"/>
          <w:sz w:val="20"/>
        </w:rPr>
        <w:t>To characterize failure modes and establish realistic performance boundaries, we evaluate the full DAFB-CLS on four challenging subsets of VOC 2012, stratified by scene difficulty. Table VI reports per-subset metrics.</w:t>
      </w:r>
    </w:p>
    <w:p w14:paraId="1A8C1465">
      <w:pPr>
        <w:spacing w:before="40" w:after="120"/>
        <w:jc w:val="center"/>
      </w:pPr>
      <w:r>
        <w:rPr>
          <w:rFonts w:ascii="Times New Roman" w:hAnsi="Times New Roman"/>
          <w:i/>
          <w:sz w:val="16"/>
        </w:rPr>
        <w:t>TABLE VI. Stress Test Results (DINO ViT-S/16, VOC 2012)</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4045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shd w:val="clear" w:color="auto" w:fill="E8E8E8"/>
          </w:tcPr>
          <w:p w14:paraId="5D73A00A">
            <w:pPr>
              <w:jc w:val="center"/>
            </w:pPr>
            <w:r>
              <w:rPr>
                <w:rFonts w:ascii="Times New Roman" w:hAnsi="Times New Roman"/>
                <w:b/>
                <w:sz w:val="17"/>
              </w:rPr>
              <w:t>Subset</w:t>
            </w:r>
          </w:p>
        </w:tc>
        <w:tc>
          <w:tcPr>
            <w:tcW w:w="1440" w:type="dxa"/>
            <w:tcBorders>
              <w:top w:val="single" w:color="999999" w:sz="4" w:space="0"/>
              <w:left w:val="nil"/>
              <w:bottom w:val="single" w:color="999999" w:sz="4" w:space="0"/>
              <w:right w:val="nil"/>
            </w:tcBorders>
            <w:shd w:val="clear" w:color="auto" w:fill="E8E8E8"/>
          </w:tcPr>
          <w:p w14:paraId="0515382F">
            <w:pPr>
              <w:jc w:val="center"/>
            </w:pPr>
            <w:r>
              <w:rPr>
                <w:rFonts w:ascii="Times New Roman" w:hAnsi="Times New Roman"/>
                <w:b/>
                <w:sz w:val="17"/>
              </w:rPr>
              <w:t>N</w:t>
            </w:r>
          </w:p>
        </w:tc>
        <w:tc>
          <w:tcPr>
            <w:tcW w:w="1440" w:type="dxa"/>
            <w:tcBorders>
              <w:top w:val="single" w:color="999999" w:sz="4" w:space="0"/>
              <w:left w:val="nil"/>
              <w:bottom w:val="single" w:color="999999" w:sz="4" w:space="0"/>
              <w:right w:val="nil"/>
            </w:tcBorders>
            <w:shd w:val="clear" w:color="auto" w:fill="E8E8E8"/>
          </w:tcPr>
          <w:p w14:paraId="16FA3044">
            <w:pPr>
              <w:jc w:val="center"/>
            </w:pPr>
            <w:r>
              <w:rPr>
                <w:rFonts w:ascii="Times New Roman" w:hAnsi="Times New Roman"/>
                <w:b/>
                <w:sz w:val="17"/>
              </w:rPr>
              <w:t>FG IoU ↑</w:t>
            </w:r>
          </w:p>
        </w:tc>
        <w:tc>
          <w:tcPr>
            <w:tcW w:w="1440" w:type="dxa"/>
            <w:tcBorders>
              <w:top w:val="single" w:color="999999" w:sz="4" w:space="0"/>
              <w:left w:val="nil"/>
              <w:bottom w:val="single" w:color="999999" w:sz="4" w:space="0"/>
              <w:right w:val="nil"/>
            </w:tcBorders>
            <w:shd w:val="clear" w:color="auto" w:fill="E8E8E8"/>
          </w:tcPr>
          <w:p w14:paraId="1871C05A">
            <w:pPr>
              <w:jc w:val="center"/>
            </w:pPr>
            <w:r>
              <w:rPr>
                <w:rFonts w:ascii="Times New Roman" w:hAnsi="Times New Roman"/>
                <w:b/>
                <w:sz w:val="17"/>
              </w:rPr>
              <w:t>PiB ↑</w:t>
            </w:r>
          </w:p>
        </w:tc>
        <w:tc>
          <w:tcPr>
            <w:tcW w:w="1440" w:type="dxa"/>
            <w:tcBorders>
              <w:top w:val="single" w:color="999999" w:sz="4" w:space="0"/>
              <w:left w:val="nil"/>
              <w:bottom w:val="single" w:color="999999" w:sz="4" w:space="0"/>
              <w:right w:val="nil"/>
            </w:tcBorders>
            <w:shd w:val="clear" w:color="auto" w:fill="E8E8E8"/>
          </w:tcPr>
          <w:p w14:paraId="70528FC5">
            <w:pPr>
              <w:jc w:val="center"/>
            </w:pPr>
            <w:r>
              <w:rPr>
                <w:rFonts w:ascii="Times New Roman" w:hAnsi="Times New Roman"/>
                <w:b/>
                <w:sz w:val="17"/>
              </w:rPr>
              <w:t>Pred FG Ratio</w:t>
            </w:r>
          </w:p>
        </w:tc>
        <w:tc>
          <w:tcPr>
            <w:tcW w:w="1440" w:type="dxa"/>
            <w:tcBorders>
              <w:top w:val="single" w:color="999999" w:sz="4" w:space="0"/>
              <w:left w:val="nil"/>
              <w:bottom w:val="single" w:color="999999" w:sz="4" w:space="0"/>
              <w:right w:val="nil"/>
            </w:tcBorders>
            <w:shd w:val="clear" w:color="auto" w:fill="E8E8E8"/>
          </w:tcPr>
          <w:p w14:paraId="4C9E6F4B">
            <w:pPr>
              <w:jc w:val="center"/>
            </w:pPr>
            <w:r>
              <w:rPr>
                <w:rFonts w:ascii="Times New Roman" w:hAnsi="Times New Roman"/>
                <w:b/>
                <w:sz w:val="17"/>
              </w:rPr>
              <w:t>Pearson r</w:t>
            </w:r>
          </w:p>
        </w:tc>
      </w:tr>
      <w:tr w14:paraId="182D5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tcPr>
          <w:p w14:paraId="5C14B1FD">
            <w:pPr>
              <w:jc w:val="left"/>
            </w:pPr>
            <w:r>
              <w:rPr>
                <w:rFonts w:ascii="Times New Roman" w:hAnsi="Times New Roman"/>
                <w:sz w:val="17"/>
              </w:rPr>
              <w:t>Stable Background</w:t>
            </w:r>
          </w:p>
        </w:tc>
        <w:tc>
          <w:tcPr>
            <w:tcW w:w="1440" w:type="dxa"/>
            <w:tcBorders>
              <w:top w:val="single" w:color="999999" w:sz="4" w:space="0"/>
              <w:left w:val="nil"/>
              <w:bottom w:val="single" w:color="999999" w:sz="4" w:space="0"/>
              <w:right w:val="nil"/>
            </w:tcBorders>
          </w:tcPr>
          <w:p w14:paraId="66103934">
            <w:pPr>
              <w:jc w:val="center"/>
            </w:pPr>
            <w:r>
              <w:rPr>
                <w:rFonts w:ascii="Times New Roman" w:hAnsi="Times New Roman"/>
                <w:sz w:val="17"/>
              </w:rPr>
              <w:t>551</w:t>
            </w:r>
          </w:p>
        </w:tc>
        <w:tc>
          <w:tcPr>
            <w:tcW w:w="1440" w:type="dxa"/>
            <w:tcBorders>
              <w:top w:val="single" w:color="999999" w:sz="4" w:space="0"/>
              <w:left w:val="nil"/>
              <w:bottom w:val="single" w:color="999999" w:sz="4" w:space="0"/>
              <w:right w:val="nil"/>
            </w:tcBorders>
          </w:tcPr>
          <w:p w14:paraId="287571A1">
            <w:pPr>
              <w:jc w:val="center"/>
            </w:pPr>
            <w:r>
              <w:rPr>
                <w:rFonts w:ascii="Times New Roman" w:hAnsi="Times New Roman"/>
                <w:sz w:val="17"/>
              </w:rPr>
              <w:t>13.02</w:t>
            </w:r>
          </w:p>
        </w:tc>
        <w:tc>
          <w:tcPr>
            <w:tcW w:w="1440" w:type="dxa"/>
            <w:tcBorders>
              <w:top w:val="single" w:color="999999" w:sz="4" w:space="0"/>
              <w:left w:val="nil"/>
              <w:bottom w:val="single" w:color="999999" w:sz="4" w:space="0"/>
              <w:right w:val="nil"/>
            </w:tcBorders>
          </w:tcPr>
          <w:p w14:paraId="1DC4DC5F">
            <w:pPr>
              <w:jc w:val="center"/>
            </w:pPr>
            <w:r>
              <w:rPr>
                <w:rFonts w:ascii="Times New Roman" w:hAnsi="Times New Roman"/>
                <w:sz w:val="17"/>
              </w:rPr>
              <w:t>20.87</w:t>
            </w:r>
          </w:p>
        </w:tc>
        <w:tc>
          <w:tcPr>
            <w:tcW w:w="1440" w:type="dxa"/>
            <w:tcBorders>
              <w:top w:val="single" w:color="999999" w:sz="4" w:space="0"/>
              <w:left w:val="nil"/>
              <w:bottom w:val="single" w:color="999999" w:sz="4" w:space="0"/>
              <w:right w:val="nil"/>
            </w:tcBorders>
          </w:tcPr>
          <w:p w14:paraId="480C596C">
            <w:pPr>
              <w:jc w:val="center"/>
            </w:pPr>
            <w:r>
              <w:rPr>
                <w:rFonts w:ascii="Times New Roman" w:hAnsi="Times New Roman"/>
                <w:sz w:val="17"/>
              </w:rPr>
              <w:t>0.48</w:t>
            </w:r>
          </w:p>
        </w:tc>
        <w:tc>
          <w:tcPr>
            <w:tcW w:w="1440" w:type="dxa"/>
            <w:tcBorders>
              <w:top w:val="single" w:color="999999" w:sz="4" w:space="0"/>
              <w:left w:val="nil"/>
              <w:bottom w:val="single" w:color="999999" w:sz="4" w:space="0"/>
              <w:right w:val="nil"/>
            </w:tcBorders>
          </w:tcPr>
          <w:p w14:paraId="2A005FD8">
            <w:pPr>
              <w:jc w:val="center"/>
            </w:pPr>
            <w:r>
              <w:rPr>
                <w:rFonts w:ascii="Times New Roman" w:hAnsi="Times New Roman"/>
                <w:sz w:val="17"/>
              </w:rPr>
              <w:t>0.394</w:t>
            </w:r>
          </w:p>
        </w:tc>
      </w:tr>
      <w:tr w14:paraId="749E9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tcPr>
          <w:p w14:paraId="5FE28E2F">
            <w:pPr>
              <w:jc w:val="left"/>
            </w:pPr>
            <w:r>
              <w:rPr>
                <w:rFonts w:ascii="Times New Roman" w:hAnsi="Times New Roman"/>
                <w:sz w:val="17"/>
              </w:rPr>
              <w:t>Textured Foreground</w:t>
            </w:r>
          </w:p>
        </w:tc>
        <w:tc>
          <w:tcPr>
            <w:tcW w:w="1440" w:type="dxa"/>
            <w:tcBorders>
              <w:top w:val="single" w:color="999999" w:sz="4" w:space="0"/>
              <w:left w:val="nil"/>
              <w:bottom w:val="single" w:color="999999" w:sz="4" w:space="0"/>
              <w:right w:val="nil"/>
            </w:tcBorders>
          </w:tcPr>
          <w:p w14:paraId="064039DD">
            <w:pPr>
              <w:jc w:val="center"/>
            </w:pPr>
            <w:r>
              <w:rPr>
                <w:rFonts w:ascii="Times New Roman" w:hAnsi="Times New Roman"/>
                <w:sz w:val="17"/>
              </w:rPr>
              <w:t>898</w:t>
            </w:r>
          </w:p>
        </w:tc>
        <w:tc>
          <w:tcPr>
            <w:tcW w:w="1440" w:type="dxa"/>
            <w:tcBorders>
              <w:top w:val="single" w:color="999999" w:sz="4" w:space="0"/>
              <w:left w:val="nil"/>
              <w:bottom w:val="single" w:color="999999" w:sz="4" w:space="0"/>
              <w:right w:val="nil"/>
            </w:tcBorders>
          </w:tcPr>
          <w:p w14:paraId="124283B8">
            <w:pPr>
              <w:jc w:val="center"/>
            </w:pPr>
            <w:r>
              <w:rPr>
                <w:rFonts w:ascii="Times New Roman" w:hAnsi="Times New Roman"/>
                <w:sz w:val="17"/>
              </w:rPr>
              <w:t>34.42</w:t>
            </w:r>
          </w:p>
        </w:tc>
        <w:tc>
          <w:tcPr>
            <w:tcW w:w="1440" w:type="dxa"/>
            <w:tcBorders>
              <w:top w:val="single" w:color="999999" w:sz="4" w:space="0"/>
              <w:left w:val="nil"/>
              <w:bottom w:val="single" w:color="999999" w:sz="4" w:space="0"/>
              <w:right w:val="nil"/>
            </w:tcBorders>
          </w:tcPr>
          <w:p w14:paraId="006BE5F7">
            <w:pPr>
              <w:jc w:val="center"/>
            </w:pPr>
            <w:r>
              <w:rPr>
                <w:rFonts w:ascii="Times New Roman" w:hAnsi="Times New Roman"/>
                <w:sz w:val="17"/>
              </w:rPr>
              <w:t>43.88</w:t>
            </w:r>
          </w:p>
        </w:tc>
        <w:tc>
          <w:tcPr>
            <w:tcW w:w="1440" w:type="dxa"/>
            <w:tcBorders>
              <w:top w:val="single" w:color="999999" w:sz="4" w:space="0"/>
              <w:left w:val="nil"/>
              <w:bottom w:val="single" w:color="999999" w:sz="4" w:space="0"/>
              <w:right w:val="nil"/>
            </w:tcBorders>
          </w:tcPr>
          <w:p w14:paraId="08CC74A5">
            <w:pPr>
              <w:jc w:val="center"/>
            </w:pPr>
            <w:r>
              <w:rPr>
                <w:rFonts w:ascii="Times New Roman" w:hAnsi="Times New Roman"/>
                <w:sz w:val="17"/>
              </w:rPr>
              <w:t>0.59</w:t>
            </w:r>
          </w:p>
        </w:tc>
        <w:tc>
          <w:tcPr>
            <w:tcW w:w="1440" w:type="dxa"/>
            <w:tcBorders>
              <w:top w:val="single" w:color="999999" w:sz="4" w:space="0"/>
              <w:left w:val="nil"/>
              <w:bottom w:val="single" w:color="999999" w:sz="4" w:space="0"/>
              <w:right w:val="nil"/>
            </w:tcBorders>
          </w:tcPr>
          <w:p w14:paraId="13357A2B">
            <w:pPr>
              <w:jc w:val="center"/>
            </w:pPr>
            <w:r>
              <w:rPr>
                <w:rFonts w:ascii="Times New Roman" w:hAnsi="Times New Roman"/>
                <w:sz w:val="17"/>
              </w:rPr>
              <w:t>0.635</w:t>
            </w:r>
          </w:p>
        </w:tc>
      </w:tr>
      <w:tr w14:paraId="5965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tcPr>
          <w:p w14:paraId="205E0A36">
            <w:pPr>
              <w:jc w:val="left"/>
            </w:pPr>
            <w:r>
              <w:rPr>
                <w:rFonts w:ascii="Times New Roman" w:hAnsi="Times New Roman"/>
                <w:sz w:val="17"/>
              </w:rPr>
              <w:t>Small Object (&lt;10% area)</w:t>
            </w:r>
          </w:p>
        </w:tc>
        <w:tc>
          <w:tcPr>
            <w:tcW w:w="1440" w:type="dxa"/>
            <w:tcBorders>
              <w:top w:val="single" w:color="999999" w:sz="4" w:space="0"/>
              <w:left w:val="nil"/>
              <w:bottom w:val="single" w:color="999999" w:sz="4" w:space="0"/>
              <w:right w:val="nil"/>
            </w:tcBorders>
          </w:tcPr>
          <w:p w14:paraId="6D33934E">
            <w:pPr>
              <w:jc w:val="center"/>
            </w:pPr>
            <w:r>
              <w:rPr>
                <w:rFonts w:ascii="Times New Roman" w:hAnsi="Times New Roman"/>
                <w:sz w:val="17"/>
              </w:rPr>
              <w:t>450</w:t>
            </w:r>
          </w:p>
        </w:tc>
        <w:tc>
          <w:tcPr>
            <w:tcW w:w="1440" w:type="dxa"/>
            <w:tcBorders>
              <w:top w:val="single" w:color="999999" w:sz="4" w:space="0"/>
              <w:left w:val="nil"/>
              <w:bottom w:val="single" w:color="999999" w:sz="4" w:space="0"/>
              <w:right w:val="nil"/>
            </w:tcBorders>
          </w:tcPr>
          <w:p w14:paraId="0F00A23F">
            <w:pPr>
              <w:jc w:val="center"/>
            </w:pPr>
            <w:r>
              <w:rPr>
                <w:rFonts w:ascii="Times New Roman" w:hAnsi="Times New Roman"/>
                <w:sz w:val="17"/>
              </w:rPr>
              <w:t>26.92</w:t>
            </w:r>
          </w:p>
        </w:tc>
        <w:tc>
          <w:tcPr>
            <w:tcW w:w="1440" w:type="dxa"/>
            <w:tcBorders>
              <w:top w:val="single" w:color="999999" w:sz="4" w:space="0"/>
              <w:left w:val="nil"/>
              <w:bottom w:val="single" w:color="999999" w:sz="4" w:space="0"/>
              <w:right w:val="nil"/>
            </w:tcBorders>
          </w:tcPr>
          <w:p w14:paraId="0964F153">
            <w:pPr>
              <w:jc w:val="center"/>
            </w:pPr>
            <w:r>
              <w:rPr>
                <w:rFonts w:ascii="Times New Roman" w:hAnsi="Times New Roman"/>
                <w:sz w:val="17"/>
              </w:rPr>
              <w:t>34.67</w:t>
            </w:r>
          </w:p>
        </w:tc>
        <w:tc>
          <w:tcPr>
            <w:tcW w:w="1440" w:type="dxa"/>
            <w:tcBorders>
              <w:top w:val="single" w:color="999999" w:sz="4" w:space="0"/>
              <w:left w:val="nil"/>
              <w:bottom w:val="single" w:color="999999" w:sz="4" w:space="0"/>
              <w:right w:val="nil"/>
            </w:tcBorders>
          </w:tcPr>
          <w:p w14:paraId="1C43F579">
            <w:pPr>
              <w:jc w:val="center"/>
            </w:pPr>
            <w:r>
              <w:rPr>
                <w:rFonts w:ascii="Times New Roman" w:hAnsi="Times New Roman"/>
                <w:sz w:val="17"/>
              </w:rPr>
              <w:t>0.55</w:t>
            </w:r>
          </w:p>
        </w:tc>
        <w:tc>
          <w:tcPr>
            <w:tcW w:w="1440" w:type="dxa"/>
            <w:tcBorders>
              <w:top w:val="single" w:color="999999" w:sz="4" w:space="0"/>
              <w:left w:val="nil"/>
              <w:bottom w:val="single" w:color="999999" w:sz="4" w:space="0"/>
              <w:right w:val="nil"/>
            </w:tcBorders>
          </w:tcPr>
          <w:p w14:paraId="5AF8CFA3">
            <w:pPr>
              <w:jc w:val="center"/>
            </w:pPr>
            <w:r>
              <w:rPr>
                <w:rFonts w:ascii="Times New Roman" w:hAnsi="Times New Roman"/>
                <w:sz w:val="17"/>
              </w:rPr>
              <w:t>0.645</w:t>
            </w:r>
          </w:p>
        </w:tc>
      </w:tr>
      <w:tr w14:paraId="0DF2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tcPr>
          <w:p w14:paraId="44C7BD5A">
            <w:pPr>
              <w:jc w:val="left"/>
            </w:pPr>
            <w:r>
              <w:rPr>
                <w:rFonts w:ascii="Times New Roman" w:hAnsi="Times New Roman"/>
                <w:sz w:val="17"/>
              </w:rPr>
              <w:t>Multi-Object (≥3 instances)</w:t>
            </w:r>
          </w:p>
        </w:tc>
        <w:tc>
          <w:tcPr>
            <w:tcW w:w="1440" w:type="dxa"/>
            <w:tcBorders>
              <w:top w:val="single" w:color="999999" w:sz="4" w:space="0"/>
              <w:left w:val="nil"/>
              <w:bottom w:val="single" w:color="999999" w:sz="4" w:space="0"/>
              <w:right w:val="nil"/>
            </w:tcBorders>
          </w:tcPr>
          <w:p w14:paraId="0B5C861A">
            <w:pPr>
              <w:jc w:val="center"/>
            </w:pPr>
            <w:r>
              <w:rPr>
                <w:rFonts w:ascii="Times New Roman" w:hAnsi="Times New Roman"/>
                <w:sz w:val="17"/>
              </w:rPr>
              <w:t>436</w:t>
            </w:r>
          </w:p>
        </w:tc>
        <w:tc>
          <w:tcPr>
            <w:tcW w:w="1440" w:type="dxa"/>
            <w:tcBorders>
              <w:top w:val="single" w:color="999999" w:sz="4" w:space="0"/>
              <w:left w:val="nil"/>
              <w:bottom w:val="single" w:color="999999" w:sz="4" w:space="0"/>
              <w:right w:val="nil"/>
            </w:tcBorders>
          </w:tcPr>
          <w:p w14:paraId="673DD0F6">
            <w:pPr>
              <w:jc w:val="center"/>
            </w:pPr>
            <w:r>
              <w:rPr>
                <w:rFonts w:ascii="Times New Roman" w:hAnsi="Times New Roman"/>
                <w:sz w:val="17"/>
              </w:rPr>
              <w:t>36.19</w:t>
            </w:r>
          </w:p>
        </w:tc>
        <w:tc>
          <w:tcPr>
            <w:tcW w:w="1440" w:type="dxa"/>
            <w:tcBorders>
              <w:top w:val="single" w:color="999999" w:sz="4" w:space="0"/>
              <w:left w:val="nil"/>
              <w:bottom w:val="single" w:color="999999" w:sz="4" w:space="0"/>
              <w:right w:val="nil"/>
            </w:tcBorders>
          </w:tcPr>
          <w:p w14:paraId="17A9EF4C">
            <w:pPr>
              <w:jc w:val="center"/>
            </w:pPr>
            <w:r>
              <w:rPr>
                <w:rFonts w:ascii="Times New Roman" w:hAnsi="Times New Roman"/>
                <w:sz w:val="17"/>
              </w:rPr>
              <w:t>43.12</w:t>
            </w:r>
          </w:p>
        </w:tc>
        <w:tc>
          <w:tcPr>
            <w:tcW w:w="1440" w:type="dxa"/>
            <w:tcBorders>
              <w:top w:val="single" w:color="999999" w:sz="4" w:space="0"/>
              <w:left w:val="nil"/>
              <w:bottom w:val="single" w:color="999999" w:sz="4" w:space="0"/>
              <w:right w:val="nil"/>
            </w:tcBorders>
          </w:tcPr>
          <w:p w14:paraId="08499FAD">
            <w:pPr>
              <w:jc w:val="center"/>
            </w:pPr>
            <w:r>
              <w:rPr>
                <w:rFonts w:ascii="Times New Roman" w:hAnsi="Times New Roman"/>
                <w:sz w:val="17"/>
              </w:rPr>
              <w:t>0.6</w:t>
            </w:r>
          </w:p>
        </w:tc>
        <w:tc>
          <w:tcPr>
            <w:tcW w:w="1440" w:type="dxa"/>
            <w:tcBorders>
              <w:top w:val="single" w:color="999999" w:sz="4" w:space="0"/>
              <w:left w:val="nil"/>
              <w:bottom w:val="single" w:color="999999" w:sz="4" w:space="0"/>
              <w:right w:val="nil"/>
            </w:tcBorders>
          </w:tcPr>
          <w:p w14:paraId="20DF9431">
            <w:pPr>
              <w:jc w:val="center"/>
            </w:pPr>
            <w:r>
              <w:rPr>
                <w:rFonts w:ascii="Times New Roman" w:hAnsi="Times New Roman"/>
                <w:sz w:val="17"/>
              </w:rPr>
              <w:t>0.605</w:t>
            </w:r>
          </w:p>
        </w:tc>
      </w:tr>
    </w:tbl>
    <w:p w14:paraId="44A78793"/>
    <w:p w14:paraId="590D6270">
      <w:pPr>
        <w:pStyle w:val="19"/>
        <w:spacing w:after="80"/>
      </w:pPr>
      <w:r>
        <w:rPr>
          <w:rFonts w:ascii="Times New Roman" w:hAnsi="Times New Roman"/>
          <w:b w:val="0"/>
          <w:i w:val="0"/>
          <w:sz w:val="20"/>
        </w:rPr>
        <w:t>Stable background is the Achilles' heel. Images dominated by sky, walls, water, or other smooth, low-texture regions show the most severe degradation: FG IoU drops to 13.02%, and PiB falls to 20.87%. The root cause is architectural: the frequency stability cue, designed to identify stable foreground patches via FFT low-pass filtering, cannot distinguish a smooth foreground object (e.g., a uniformly colored car) from a smooth background region (e.g., a blue sky). Both produce similar low-frequency activation patterns, leading the model to systematically over-predict foreground (predicted ratio 0.48 vs. ground truth typically &lt; 0.20).</w:t>
      </w:r>
    </w:p>
    <w:p w14:paraId="1E08425D">
      <w:pPr>
        <w:pStyle w:val="19"/>
        <w:spacing w:after="80"/>
      </w:pPr>
      <w:r>
        <w:rPr>
          <w:rFonts w:ascii="Times New Roman" w:hAnsi="Times New Roman"/>
          <w:b w:val="0"/>
          <w:i w:val="0"/>
          <w:sz w:val="20"/>
        </w:rPr>
        <w:t>Textured objects and multi-object scenes work best. The model performs best on textured foreground (34.42% FG IoU) and multi-object scenes (36.19%), where high-frequency texture cues provide strong discriminative signals.</w:t>
      </w:r>
    </w:p>
    <w:p w14:paraId="14631B9F">
      <w:pPr>
        <w:pStyle w:val="19"/>
        <w:spacing w:after="80"/>
      </w:pPr>
      <w:r>
        <w:rPr>
          <w:rFonts w:ascii="Times New Roman" w:hAnsi="Times New Roman"/>
          <w:b w:val="0"/>
          <w:i w:val="0"/>
          <w:sz w:val="20"/>
        </w:rPr>
        <w:t>Small objects are limited by spatial resolution. The 16×16 patch grid (ViT-S/16, 224×224 input) provides only coarse spatial granularity. Objects occupying less than 10% of image area correspond to at most 3–4 patches, leaving the adaptive mask with insufficient spatial resolution for precise boundary delineation.</w:t>
      </w:r>
    </w:p>
    <w:p w14:paraId="5656A8A7">
      <w:pPr>
        <w:pStyle w:val="19"/>
        <w:spacing w:after="80"/>
      </w:pPr>
      <w:r>
        <w:rPr>
          <w:rFonts w:ascii="Times New Roman" w:hAnsi="Times New Roman"/>
          <w:b w:val="0"/>
          <w:i w:val="0"/>
          <w:sz w:val="20"/>
        </w:rPr>
        <w:t>The predicted foreground ratio clusters around 0.48–0.60 across all subsets regardless of ground truth (Pearson r only 0.394–0.645), indicating that the adaptive budget module learns a dataset-level prior rather than truly adapting per-image. Improving the image-conditional threshold prediction is a promising direction for future work.</w:t>
      </w:r>
    </w:p>
    <w:p w14:paraId="231BAB6D">
      <w:pPr>
        <w:pStyle w:val="4"/>
      </w:pPr>
      <w:r>
        <w:t>F. Efficiency Analysis</w:t>
      </w:r>
    </w:p>
    <w:p w14:paraId="3D5D60D5">
      <w:pPr>
        <w:pStyle w:val="19"/>
        <w:spacing w:after="80"/>
      </w:pPr>
      <w:r>
        <w:rPr>
          <w:rFonts w:ascii="Times New Roman" w:hAnsi="Times New Roman"/>
          <w:b w:val="0"/>
          <w:i w:val="0"/>
          <w:sz w:val="20"/>
        </w:rPr>
        <w:t>Table VII reports parameter count, FLOPs, inference latency, and GPU memory for DAFB-CLS relative to the backbone baseline and LaSt-ViT. All measurements use batch size 1, 224×224 input, and 100-run averaging on an NVIDIA RTX 4070 Laptop GPU.</w:t>
      </w:r>
    </w:p>
    <w:p w14:paraId="38479E48">
      <w:pPr>
        <w:jc w:val="center"/>
      </w:pPr>
      <w:r>
        <w:drawing>
          <wp:inline distT="0" distB="0" distL="114300" distR="114300">
            <wp:extent cx="4754880" cy="3799840"/>
            <wp:effectExtent l="0" t="0" r="762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754880" cy="3799869"/>
                    </a:xfrm>
                    <a:prstGeom prst="rect">
                      <a:avLst/>
                    </a:prstGeom>
                  </pic:spPr>
                </pic:pic>
              </a:graphicData>
            </a:graphic>
          </wp:inline>
        </w:drawing>
      </w:r>
    </w:p>
    <w:p w14:paraId="7D1ABE5E">
      <w:pPr>
        <w:spacing w:before="40" w:after="120"/>
        <w:jc w:val="center"/>
      </w:pPr>
      <w:r>
        <w:rPr>
          <w:rFonts w:ascii="Times New Roman" w:hAnsi="Times New Roman"/>
          <w:i/>
          <w:sz w:val="16"/>
        </w:rPr>
        <w:t>Fig. 5. Efficiency analysis. Comparison across backbone baseline, LaSt-ViT, and DAFB-CLS for both DINO ViT-S/16 and OpenCLIP ViT-B/16 backbones.</w:t>
      </w:r>
    </w:p>
    <w:p w14:paraId="6BD62995">
      <w:pPr>
        <w:spacing w:before="40" w:after="120"/>
        <w:jc w:val="center"/>
      </w:pPr>
      <w:r>
        <w:rPr>
          <w:rFonts w:ascii="Times New Roman" w:hAnsi="Times New Roman"/>
          <w:i/>
          <w:sz w:val="16"/>
        </w:rPr>
        <w:t>TABLE VII. Efficiency Comparison (RTX 4070 Laptop, bs=1, 224×224)</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1080"/>
        <w:gridCol w:w="1080"/>
        <w:gridCol w:w="1080"/>
        <w:gridCol w:w="1080"/>
        <w:gridCol w:w="1080"/>
        <w:gridCol w:w="1080"/>
        <w:gridCol w:w="1080"/>
      </w:tblGrid>
      <w:tr w14:paraId="0131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shd w:val="clear" w:color="auto" w:fill="E8E8E8"/>
          </w:tcPr>
          <w:p w14:paraId="4F4E2BEA">
            <w:pPr>
              <w:jc w:val="center"/>
            </w:pPr>
            <w:r>
              <w:rPr>
                <w:rFonts w:ascii="Times New Roman" w:hAnsi="Times New Roman"/>
                <w:b/>
                <w:sz w:val="17"/>
              </w:rPr>
              <w:t>Method</w:t>
            </w:r>
          </w:p>
        </w:tc>
        <w:tc>
          <w:tcPr>
            <w:tcW w:w="1080" w:type="dxa"/>
            <w:tcBorders>
              <w:top w:val="single" w:color="999999" w:sz="4" w:space="0"/>
              <w:left w:val="nil"/>
              <w:bottom w:val="single" w:color="999999" w:sz="4" w:space="0"/>
              <w:right w:val="nil"/>
            </w:tcBorders>
            <w:shd w:val="clear" w:color="auto" w:fill="E8E8E8"/>
          </w:tcPr>
          <w:p w14:paraId="0672B704">
            <w:pPr>
              <w:jc w:val="center"/>
            </w:pPr>
            <w:r>
              <w:rPr>
                <w:rFonts w:ascii="Times New Roman" w:hAnsi="Times New Roman"/>
                <w:b/>
                <w:sz w:val="17"/>
              </w:rPr>
              <w:t>Backbone</w:t>
            </w:r>
          </w:p>
        </w:tc>
        <w:tc>
          <w:tcPr>
            <w:tcW w:w="1080" w:type="dxa"/>
            <w:tcBorders>
              <w:top w:val="single" w:color="999999" w:sz="4" w:space="0"/>
              <w:left w:val="nil"/>
              <w:bottom w:val="single" w:color="999999" w:sz="4" w:space="0"/>
              <w:right w:val="nil"/>
            </w:tcBorders>
            <w:shd w:val="clear" w:color="auto" w:fill="E8E8E8"/>
          </w:tcPr>
          <w:p w14:paraId="51FC5C39">
            <w:pPr>
              <w:jc w:val="center"/>
            </w:pPr>
            <w:r>
              <w:rPr>
                <w:rFonts w:ascii="Times New Roman" w:hAnsi="Times New Roman"/>
                <w:b/>
                <w:sz w:val="17"/>
              </w:rPr>
              <w:t>Total (M)</w:t>
            </w:r>
          </w:p>
        </w:tc>
        <w:tc>
          <w:tcPr>
            <w:tcW w:w="1080" w:type="dxa"/>
            <w:tcBorders>
              <w:top w:val="single" w:color="999999" w:sz="4" w:space="0"/>
              <w:left w:val="nil"/>
              <w:bottom w:val="single" w:color="999999" w:sz="4" w:space="0"/>
              <w:right w:val="nil"/>
            </w:tcBorders>
            <w:shd w:val="clear" w:color="auto" w:fill="E8E8E8"/>
          </w:tcPr>
          <w:p w14:paraId="184D0013">
            <w:pPr>
              <w:jc w:val="center"/>
            </w:pPr>
            <w:r>
              <w:rPr>
                <w:rFonts w:ascii="Times New Roman" w:hAnsi="Times New Roman"/>
                <w:b/>
                <w:sz w:val="17"/>
              </w:rPr>
              <w:t>Trainable (M)</w:t>
            </w:r>
          </w:p>
        </w:tc>
        <w:tc>
          <w:tcPr>
            <w:tcW w:w="1080" w:type="dxa"/>
            <w:tcBorders>
              <w:top w:val="single" w:color="999999" w:sz="4" w:space="0"/>
              <w:left w:val="nil"/>
              <w:bottom w:val="single" w:color="999999" w:sz="4" w:space="0"/>
              <w:right w:val="nil"/>
            </w:tcBorders>
            <w:shd w:val="clear" w:color="auto" w:fill="E8E8E8"/>
          </w:tcPr>
          <w:p w14:paraId="134C7E30">
            <w:pPr>
              <w:jc w:val="center"/>
            </w:pPr>
            <w:r>
              <w:rPr>
                <w:rFonts w:ascii="Times New Roman" w:hAnsi="Times New Roman"/>
                <w:b/>
                <w:sz w:val="17"/>
              </w:rPr>
              <w:t>FLOPs (G)</w:t>
            </w:r>
          </w:p>
        </w:tc>
        <w:tc>
          <w:tcPr>
            <w:tcW w:w="1080" w:type="dxa"/>
            <w:tcBorders>
              <w:top w:val="single" w:color="999999" w:sz="4" w:space="0"/>
              <w:left w:val="nil"/>
              <w:bottom w:val="single" w:color="999999" w:sz="4" w:space="0"/>
              <w:right w:val="nil"/>
            </w:tcBorders>
            <w:shd w:val="clear" w:color="auto" w:fill="E8E8E8"/>
          </w:tcPr>
          <w:p w14:paraId="5B8CCA7F">
            <w:pPr>
              <w:jc w:val="center"/>
            </w:pPr>
            <w:r>
              <w:rPr>
                <w:rFonts w:ascii="Times New Roman" w:hAnsi="Times New Roman"/>
                <w:b/>
                <w:sz w:val="17"/>
              </w:rPr>
              <w:t>Latency (ms)</w:t>
            </w:r>
          </w:p>
        </w:tc>
        <w:tc>
          <w:tcPr>
            <w:tcW w:w="1080" w:type="dxa"/>
            <w:tcBorders>
              <w:top w:val="single" w:color="999999" w:sz="4" w:space="0"/>
              <w:left w:val="nil"/>
              <w:bottom w:val="single" w:color="999999" w:sz="4" w:space="0"/>
              <w:right w:val="nil"/>
            </w:tcBorders>
            <w:shd w:val="clear" w:color="auto" w:fill="E8E8E8"/>
          </w:tcPr>
          <w:p w14:paraId="6607A22E">
            <w:pPr>
              <w:jc w:val="center"/>
            </w:pPr>
            <w:r>
              <w:rPr>
                <w:rFonts w:ascii="Times New Roman" w:hAnsi="Times New Roman"/>
                <w:b/>
                <w:sz w:val="17"/>
              </w:rPr>
              <w:t>Memory (MB)</w:t>
            </w:r>
          </w:p>
        </w:tc>
        <w:tc>
          <w:tcPr>
            <w:tcW w:w="1080" w:type="dxa"/>
            <w:tcBorders>
              <w:top w:val="single" w:color="999999" w:sz="4" w:space="0"/>
              <w:left w:val="nil"/>
              <w:bottom w:val="single" w:color="999999" w:sz="4" w:space="0"/>
              <w:right w:val="nil"/>
            </w:tcBorders>
            <w:shd w:val="clear" w:color="auto" w:fill="E8E8E8"/>
          </w:tcPr>
          <w:p w14:paraId="19235F20">
            <w:pPr>
              <w:jc w:val="center"/>
            </w:pPr>
            <w:r>
              <w:rPr>
                <w:rFonts w:ascii="Times New Roman" w:hAnsi="Times New Roman"/>
                <w:b/>
                <w:sz w:val="17"/>
              </w:rPr>
              <w:t>Overhead</w:t>
            </w:r>
          </w:p>
        </w:tc>
      </w:tr>
      <w:tr w14:paraId="0E194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tcPr>
          <w:p w14:paraId="740CF022">
            <w:pPr>
              <w:jc w:val="left"/>
            </w:pPr>
            <w:r>
              <w:rPr>
                <w:rFonts w:ascii="Times New Roman" w:hAnsi="Times New Roman"/>
                <w:sz w:val="17"/>
              </w:rPr>
              <w:t>Baseline</w:t>
            </w:r>
          </w:p>
        </w:tc>
        <w:tc>
          <w:tcPr>
            <w:tcW w:w="1080" w:type="dxa"/>
            <w:tcBorders>
              <w:top w:val="single" w:color="999999" w:sz="4" w:space="0"/>
              <w:left w:val="nil"/>
              <w:bottom w:val="single" w:color="999999" w:sz="4" w:space="0"/>
              <w:right w:val="nil"/>
            </w:tcBorders>
          </w:tcPr>
          <w:p w14:paraId="321C1164">
            <w:pPr>
              <w:jc w:val="center"/>
            </w:pPr>
            <w:r>
              <w:rPr>
                <w:rFonts w:ascii="Times New Roman" w:hAnsi="Times New Roman"/>
                <w:sz w:val="17"/>
              </w:rPr>
              <w:t>DINO-S</w:t>
            </w:r>
          </w:p>
        </w:tc>
        <w:tc>
          <w:tcPr>
            <w:tcW w:w="1080" w:type="dxa"/>
            <w:tcBorders>
              <w:top w:val="single" w:color="999999" w:sz="4" w:space="0"/>
              <w:left w:val="nil"/>
              <w:bottom w:val="single" w:color="999999" w:sz="4" w:space="0"/>
              <w:right w:val="nil"/>
            </w:tcBorders>
          </w:tcPr>
          <w:p w14:paraId="2C544694">
            <w:pPr>
              <w:jc w:val="center"/>
            </w:pPr>
            <w:r>
              <w:rPr>
                <w:rFonts w:ascii="Times New Roman" w:hAnsi="Times New Roman"/>
                <w:sz w:val="17"/>
              </w:rPr>
              <w:t>21.67</w:t>
            </w:r>
          </w:p>
        </w:tc>
        <w:tc>
          <w:tcPr>
            <w:tcW w:w="1080" w:type="dxa"/>
            <w:tcBorders>
              <w:top w:val="single" w:color="999999" w:sz="4" w:space="0"/>
              <w:left w:val="nil"/>
              <w:bottom w:val="single" w:color="999999" w:sz="4" w:space="0"/>
              <w:right w:val="nil"/>
            </w:tcBorders>
          </w:tcPr>
          <w:p w14:paraId="542FE11A">
            <w:pPr>
              <w:jc w:val="center"/>
            </w:pPr>
            <w:r>
              <w:rPr>
                <w:rFonts w:ascii="Times New Roman" w:hAnsi="Times New Roman"/>
                <w:sz w:val="17"/>
              </w:rPr>
              <w:t>0.0004</w:t>
            </w:r>
          </w:p>
        </w:tc>
        <w:tc>
          <w:tcPr>
            <w:tcW w:w="1080" w:type="dxa"/>
            <w:tcBorders>
              <w:top w:val="single" w:color="999999" w:sz="4" w:space="0"/>
              <w:left w:val="nil"/>
              <w:bottom w:val="single" w:color="999999" w:sz="4" w:space="0"/>
              <w:right w:val="nil"/>
            </w:tcBorders>
          </w:tcPr>
          <w:p w14:paraId="1AA2B1A5">
            <w:pPr>
              <w:jc w:val="center"/>
            </w:pPr>
            <w:r>
              <w:rPr>
                <w:rFonts w:ascii="Times New Roman" w:hAnsi="Times New Roman"/>
                <w:sz w:val="17"/>
              </w:rPr>
              <w:t>4.25</w:t>
            </w:r>
          </w:p>
        </w:tc>
        <w:tc>
          <w:tcPr>
            <w:tcW w:w="1080" w:type="dxa"/>
            <w:tcBorders>
              <w:top w:val="single" w:color="999999" w:sz="4" w:space="0"/>
              <w:left w:val="nil"/>
              <w:bottom w:val="single" w:color="999999" w:sz="4" w:space="0"/>
              <w:right w:val="nil"/>
            </w:tcBorders>
          </w:tcPr>
          <w:p w14:paraId="171767BF">
            <w:pPr>
              <w:jc w:val="center"/>
            </w:pPr>
            <w:r>
              <w:rPr>
                <w:rFonts w:ascii="Times New Roman" w:hAnsi="Times New Roman"/>
                <w:sz w:val="17"/>
              </w:rPr>
              <w:t>5.9</w:t>
            </w:r>
          </w:p>
        </w:tc>
        <w:tc>
          <w:tcPr>
            <w:tcW w:w="1080" w:type="dxa"/>
            <w:tcBorders>
              <w:top w:val="single" w:color="999999" w:sz="4" w:space="0"/>
              <w:left w:val="nil"/>
              <w:bottom w:val="single" w:color="999999" w:sz="4" w:space="0"/>
              <w:right w:val="nil"/>
            </w:tcBorders>
          </w:tcPr>
          <w:p w14:paraId="161E5AD2">
            <w:pPr>
              <w:jc w:val="center"/>
            </w:pPr>
            <w:r>
              <w:rPr>
                <w:rFonts w:ascii="Times New Roman" w:hAnsi="Times New Roman"/>
                <w:sz w:val="17"/>
              </w:rPr>
              <w:t>97</w:t>
            </w:r>
          </w:p>
        </w:tc>
        <w:tc>
          <w:tcPr>
            <w:tcW w:w="1080" w:type="dxa"/>
            <w:tcBorders>
              <w:top w:val="single" w:color="999999" w:sz="4" w:space="0"/>
              <w:left w:val="nil"/>
              <w:bottom w:val="single" w:color="999999" w:sz="4" w:space="0"/>
              <w:right w:val="nil"/>
            </w:tcBorders>
          </w:tcPr>
          <w:p w14:paraId="74C712D0">
            <w:pPr>
              <w:jc w:val="center"/>
            </w:pPr>
            <w:r>
              <w:rPr>
                <w:rFonts w:ascii="Times New Roman" w:hAnsi="Times New Roman"/>
                <w:sz w:val="17"/>
              </w:rPr>
              <w:t>—</w:t>
            </w:r>
          </w:p>
        </w:tc>
      </w:tr>
      <w:tr w14:paraId="384FC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tcPr>
          <w:p w14:paraId="281C9061">
            <w:pPr>
              <w:jc w:val="left"/>
            </w:pPr>
            <w:r>
              <w:rPr>
                <w:rFonts w:ascii="Times New Roman" w:hAnsi="Times New Roman"/>
                <w:sz w:val="17"/>
              </w:rPr>
              <w:t>LaSt-ViT</w:t>
            </w:r>
          </w:p>
        </w:tc>
        <w:tc>
          <w:tcPr>
            <w:tcW w:w="1080" w:type="dxa"/>
            <w:tcBorders>
              <w:top w:val="single" w:color="999999" w:sz="4" w:space="0"/>
              <w:left w:val="nil"/>
              <w:bottom w:val="single" w:color="999999" w:sz="4" w:space="0"/>
              <w:right w:val="nil"/>
            </w:tcBorders>
          </w:tcPr>
          <w:p w14:paraId="2042389E">
            <w:pPr>
              <w:jc w:val="center"/>
            </w:pPr>
            <w:r>
              <w:rPr>
                <w:rFonts w:ascii="Times New Roman" w:hAnsi="Times New Roman"/>
                <w:sz w:val="17"/>
              </w:rPr>
              <w:t>DINO-S</w:t>
            </w:r>
          </w:p>
        </w:tc>
        <w:tc>
          <w:tcPr>
            <w:tcW w:w="1080" w:type="dxa"/>
            <w:tcBorders>
              <w:top w:val="single" w:color="999999" w:sz="4" w:space="0"/>
              <w:left w:val="nil"/>
              <w:bottom w:val="single" w:color="999999" w:sz="4" w:space="0"/>
              <w:right w:val="nil"/>
            </w:tcBorders>
          </w:tcPr>
          <w:p w14:paraId="37D9FB6B">
            <w:pPr>
              <w:jc w:val="center"/>
            </w:pPr>
            <w:r>
              <w:rPr>
                <w:rFonts w:ascii="Times New Roman" w:hAnsi="Times New Roman"/>
                <w:sz w:val="17"/>
              </w:rPr>
              <w:t>22.25</w:t>
            </w:r>
          </w:p>
        </w:tc>
        <w:tc>
          <w:tcPr>
            <w:tcW w:w="1080" w:type="dxa"/>
            <w:tcBorders>
              <w:top w:val="single" w:color="999999" w:sz="4" w:space="0"/>
              <w:left w:val="nil"/>
              <w:bottom w:val="single" w:color="999999" w:sz="4" w:space="0"/>
              <w:right w:val="nil"/>
            </w:tcBorders>
          </w:tcPr>
          <w:p w14:paraId="719257E1">
            <w:pPr>
              <w:jc w:val="center"/>
            </w:pPr>
            <w:r>
              <w:rPr>
                <w:rFonts w:ascii="Times New Roman" w:hAnsi="Times New Roman"/>
                <w:sz w:val="17"/>
              </w:rPr>
              <w:t>0.59</w:t>
            </w:r>
          </w:p>
        </w:tc>
        <w:tc>
          <w:tcPr>
            <w:tcW w:w="1080" w:type="dxa"/>
            <w:tcBorders>
              <w:top w:val="single" w:color="999999" w:sz="4" w:space="0"/>
              <w:left w:val="nil"/>
              <w:bottom w:val="single" w:color="999999" w:sz="4" w:space="0"/>
              <w:right w:val="nil"/>
            </w:tcBorders>
          </w:tcPr>
          <w:p w14:paraId="51588082">
            <w:pPr>
              <w:jc w:val="center"/>
            </w:pPr>
            <w:r>
              <w:rPr>
                <w:rFonts w:ascii="Times New Roman" w:hAnsi="Times New Roman"/>
                <w:sz w:val="17"/>
              </w:rPr>
              <w:t>4.26</w:t>
            </w:r>
          </w:p>
        </w:tc>
        <w:tc>
          <w:tcPr>
            <w:tcW w:w="1080" w:type="dxa"/>
            <w:tcBorders>
              <w:top w:val="single" w:color="999999" w:sz="4" w:space="0"/>
              <w:left w:val="nil"/>
              <w:bottom w:val="single" w:color="999999" w:sz="4" w:space="0"/>
              <w:right w:val="nil"/>
            </w:tcBorders>
          </w:tcPr>
          <w:p w14:paraId="05BB2279">
            <w:pPr>
              <w:jc w:val="center"/>
            </w:pPr>
            <w:r>
              <w:rPr>
                <w:rFonts w:ascii="Times New Roman" w:hAnsi="Times New Roman"/>
                <w:sz w:val="17"/>
              </w:rPr>
              <w:t>6.21</w:t>
            </w:r>
          </w:p>
        </w:tc>
        <w:tc>
          <w:tcPr>
            <w:tcW w:w="1080" w:type="dxa"/>
            <w:tcBorders>
              <w:top w:val="single" w:color="999999" w:sz="4" w:space="0"/>
              <w:left w:val="nil"/>
              <w:bottom w:val="single" w:color="999999" w:sz="4" w:space="0"/>
              <w:right w:val="nil"/>
            </w:tcBorders>
          </w:tcPr>
          <w:p w14:paraId="2D59CAFB">
            <w:pPr>
              <w:jc w:val="center"/>
            </w:pPr>
            <w:r>
              <w:rPr>
                <w:rFonts w:ascii="Times New Roman" w:hAnsi="Times New Roman"/>
                <w:sz w:val="17"/>
              </w:rPr>
              <w:t>184</w:t>
            </w:r>
          </w:p>
        </w:tc>
        <w:tc>
          <w:tcPr>
            <w:tcW w:w="1080" w:type="dxa"/>
            <w:tcBorders>
              <w:top w:val="single" w:color="999999" w:sz="4" w:space="0"/>
              <w:left w:val="nil"/>
              <w:bottom w:val="single" w:color="999999" w:sz="4" w:space="0"/>
              <w:right w:val="nil"/>
            </w:tcBorders>
          </w:tcPr>
          <w:p w14:paraId="293D7C7A">
            <w:pPr>
              <w:jc w:val="center"/>
            </w:pPr>
            <w:r>
              <w:rPr>
                <w:rFonts w:ascii="Times New Roman" w:hAnsi="Times New Roman"/>
                <w:sz w:val="17"/>
              </w:rPr>
              <w:t>1.05×</w:t>
            </w:r>
          </w:p>
        </w:tc>
      </w:tr>
      <w:tr w14:paraId="31BA8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tcPr>
          <w:p w14:paraId="56AB6688">
            <w:pPr>
              <w:jc w:val="left"/>
            </w:pPr>
            <w:r>
              <w:rPr>
                <w:rFonts w:ascii="Times New Roman" w:hAnsi="Times New Roman"/>
                <w:sz w:val="17"/>
              </w:rPr>
              <w:t>DAFB-CLS</w:t>
            </w:r>
          </w:p>
        </w:tc>
        <w:tc>
          <w:tcPr>
            <w:tcW w:w="1080" w:type="dxa"/>
            <w:tcBorders>
              <w:top w:val="single" w:color="999999" w:sz="4" w:space="0"/>
              <w:left w:val="nil"/>
              <w:bottom w:val="single" w:color="999999" w:sz="4" w:space="0"/>
              <w:right w:val="nil"/>
            </w:tcBorders>
          </w:tcPr>
          <w:p w14:paraId="4848B54C">
            <w:pPr>
              <w:jc w:val="center"/>
            </w:pPr>
            <w:r>
              <w:rPr>
                <w:rFonts w:ascii="Times New Roman" w:hAnsi="Times New Roman"/>
                <w:sz w:val="17"/>
              </w:rPr>
              <w:t>DINO-S</w:t>
            </w:r>
          </w:p>
        </w:tc>
        <w:tc>
          <w:tcPr>
            <w:tcW w:w="1080" w:type="dxa"/>
            <w:tcBorders>
              <w:top w:val="single" w:color="999999" w:sz="4" w:space="0"/>
              <w:left w:val="nil"/>
              <w:bottom w:val="single" w:color="999999" w:sz="4" w:space="0"/>
              <w:right w:val="nil"/>
            </w:tcBorders>
          </w:tcPr>
          <w:p w14:paraId="23A01989">
            <w:pPr>
              <w:jc w:val="center"/>
            </w:pPr>
            <w:r>
              <w:rPr>
                <w:rFonts w:ascii="Times New Roman" w:hAnsi="Times New Roman"/>
                <w:sz w:val="17"/>
              </w:rPr>
              <w:t>22.25</w:t>
            </w:r>
          </w:p>
        </w:tc>
        <w:tc>
          <w:tcPr>
            <w:tcW w:w="1080" w:type="dxa"/>
            <w:tcBorders>
              <w:top w:val="single" w:color="999999" w:sz="4" w:space="0"/>
              <w:left w:val="nil"/>
              <w:bottom w:val="single" w:color="999999" w:sz="4" w:space="0"/>
              <w:right w:val="nil"/>
            </w:tcBorders>
          </w:tcPr>
          <w:p w14:paraId="31E861FD">
            <w:pPr>
              <w:jc w:val="center"/>
            </w:pPr>
            <w:r>
              <w:rPr>
                <w:rFonts w:ascii="Times New Roman" w:hAnsi="Times New Roman"/>
                <w:sz w:val="17"/>
              </w:rPr>
              <w:t>0.59</w:t>
            </w:r>
          </w:p>
        </w:tc>
        <w:tc>
          <w:tcPr>
            <w:tcW w:w="1080" w:type="dxa"/>
            <w:tcBorders>
              <w:top w:val="single" w:color="999999" w:sz="4" w:space="0"/>
              <w:left w:val="nil"/>
              <w:bottom w:val="single" w:color="999999" w:sz="4" w:space="0"/>
              <w:right w:val="nil"/>
            </w:tcBorders>
          </w:tcPr>
          <w:p w14:paraId="056B5735">
            <w:pPr>
              <w:jc w:val="center"/>
            </w:pPr>
            <w:r>
              <w:rPr>
                <w:rFonts w:ascii="Times New Roman" w:hAnsi="Times New Roman"/>
                <w:sz w:val="17"/>
              </w:rPr>
              <w:t>4.30</w:t>
            </w:r>
          </w:p>
        </w:tc>
        <w:tc>
          <w:tcPr>
            <w:tcW w:w="1080" w:type="dxa"/>
            <w:tcBorders>
              <w:top w:val="single" w:color="999999" w:sz="4" w:space="0"/>
              <w:left w:val="nil"/>
              <w:bottom w:val="single" w:color="999999" w:sz="4" w:space="0"/>
              <w:right w:val="nil"/>
            </w:tcBorders>
          </w:tcPr>
          <w:p w14:paraId="7ADE4A2E">
            <w:pPr>
              <w:jc w:val="center"/>
            </w:pPr>
            <w:r>
              <w:rPr>
                <w:rFonts w:ascii="Times New Roman" w:hAnsi="Times New Roman"/>
                <w:sz w:val="17"/>
              </w:rPr>
              <w:t>7.72</w:t>
            </w:r>
          </w:p>
        </w:tc>
        <w:tc>
          <w:tcPr>
            <w:tcW w:w="1080" w:type="dxa"/>
            <w:tcBorders>
              <w:top w:val="single" w:color="999999" w:sz="4" w:space="0"/>
              <w:left w:val="nil"/>
              <w:bottom w:val="single" w:color="999999" w:sz="4" w:space="0"/>
              <w:right w:val="nil"/>
            </w:tcBorders>
          </w:tcPr>
          <w:p w14:paraId="529D13B0">
            <w:pPr>
              <w:jc w:val="center"/>
            </w:pPr>
            <w:r>
              <w:rPr>
                <w:rFonts w:ascii="Times New Roman" w:hAnsi="Times New Roman"/>
                <w:sz w:val="17"/>
              </w:rPr>
              <w:t>276</w:t>
            </w:r>
          </w:p>
        </w:tc>
        <w:tc>
          <w:tcPr>
            <w:tcW w:w="1080" w:type="dxa"/>
            <w:tcBorders>
              <w:top w:val="single" w:color="999999" w:sz="4" w:space="0"/>
              <w:left w:val="nil"/>
              <w:bottom w:val="single" w:color="999999" w:sz="4" w:space="0"/>
              <w:right w:val="nil"/>
            </w:tcBorders>
          </w:tcPr>
          <w:p w14:paraId="3C7700F0">
            <w:pPr>
              <w:jc w:val="center"/>
            </w:pPr>
            <w:r>
              <w:rPr>
                <w:rFonts w:ascii="Times New Roman" w:hAnsi="Times New Roman"/>
                <w:sz w:val="17"/>
              </w:rPr>
              <w:t>1.31×</w:t>
            </w:r>
          </w:p>
        </w:tc>
      </w:tr>
      <w:tr w14:paraId="3835E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tcPr>
          <w:p w14:paraId="76019FE5">
            <w:pPr>
              <w:jc w:val="left"/>
            </w:pPr>
            <w:r>
              <w:rPr>
                <w:rFonts w:ascii="Times New Roman" w:hAnsi="Times New Roman"/>
                <w:sz w:val="17"/>
              </w:rPr>
              <w:t>Baseline</w:t>
            </w:r>
          </w:p>
        </w:tc>
        <w:tc>
          <w:tcPr>
            <w:tcW w:w="1080" w:type="dxa"/>
            <w:tcBorders>
              <w:top w:val="single" w:color="999999" w:sz="4" w:space="0"/>
              <w:left w:val="nil"/>
              <w:bottom w:val="single" w:color="999999" w:sz="4" w:space="0"/>
              <w:right w:val="nil"/>
            </w:tcBorders>
          </w:tcPr>
          <w:p w14:paraId="16764042">
            <w:pPr>
              <w:jc w:val="center"/>
            </w:pPr>
            <w:r>
              <w:rPr>
                <w:rFonts w:ascii="Times New Roman" w:hAnsi="Times New Roman"/>
                <w:sz w:val="17"/>
              </w:rPr>
              <w:t>CLIP-B</w:t>
            </w:r>
          </w:p>
        </w:tc>
        <w:tc>
          <w:tcPr>
            <w:tcW w:w="1080" w:type="dxa"/>
            <w:tcBorders>
              <w:top w:val="single" w:color="999999" w:sz="4" w:space="0"/>
              <w:left w:val="nil"/>
              <w:bottom w:val="single" w:color="999999" w:sz="4" w:space="0"/>
              <w:right w:val="nil"/>
            </w:tcBorders>
          </w:tcPr>
          <w:p w14:paraId="166CDCDF">
            <w:pPr>
              <w:jc w:val="center"/>
            </w:pPr>
            <w:r>
              <w:rPr>
                <w:rFonts w:ascii="Times New Roman" w:hAnsi="Times New Roman"/>
                <w:sz w:val="17"/>
              </w:rPr>
              <w:t>86.21</w:t>
            </w:r>
          </w:p>
        </w:tc>
        <w:tc>
          <w:tcPr>
            <w:tcW w:w="1080" w:type="dxa"/>
            <w:tcBorders>
              <w:top w:val="single" w:color="999999" w:sz="4" w:space="0"/>
              <w:left w:val="nil"/>
              <w:bottom w:val="single" w:color="999999" w:sz="4" w:space="0"/>
              <w:right w:val="nil"/>
            </w:tcBorders>
          </w:tcPr>
          <w:p w14:paraId="58EEBC02">
            <w:pPr>
              <w:jc w:val="center"/>
            </w:pPr>
            <w:r>
              <w:rPr>
                <w:rFonts w:ascii="Times New Roman" w:hAnsi="Times New Roman"/>
                <w:sz w:val="17"/>
              </w:rPr>
              <w:t>0.016</w:t>
            </w:r>
          </w:p>
        </w:tc>
        <w:tc>
          <w:tcPr>
            <w:tcW w:w="1080" w:type="dxa"/>
            <w:tcBorders>
              <w:top w:val="single" w:color="999999" w:sz="4" w:space="0"/>
              <w:left w:val="nil"/>
              <w:bottom w:val="single" w:color="999999" w:sz="4" w:space="0"/>
              <w:right w:val="nil"/>
            </w:tcBorders>
          </w:tcPr>
          <w:p w14:paraId="6562326F">
            <w:pPr>
              <w:jc w:val="center"/>
            </w:pPr>
            <w:r>
              <w:rPr>
                <w:rFonts w:ascii="Times New Roman" w:hAnsi="Times New Roman"/>
                <w:sz w:val="17"/>
              </w:rPr>
              <w:t>2.91</w:t>
            </w:r>
          </w:p>
        </w:tc>
        <w:tc>
          <w:tcPr>
            <w:tcW w:w="1080" w:type="dxa"/>
            <w:tcBorders>
              <w:top w:val="single" w:color="999999" w:sz="4" w:space="0"/>
              <w:left w:val="nil"/>
              <w:bottom w:val="single" w:color="999999" w:sz="4" w:space="0"/>
              <w:right w:val="nil"/>
            </w:tcBorders>
          </w:tcPr>
          <w:p w14:paraId="5ADE2017">
            <w:pPr>
              <w:jc w:val="center"/>
            </w:pPr>
            <w:r>
              <w:rPr>
                <w:rFonts w:ascii="Times New Roman" w:hAnsi="Times New Roman"/>
                <w:sz w:val="17"/>
              </w:rPr>
              <w:t>12.37</w:t>
            </w:r>
          </w:p>
        </w:tc>
        <w:tc>
          <w:tcPr>
            <w:tcW w:w="1080" w:type="dxa"/>
            <w:tcBorders>
              <w:top w:val="single" w:color="999999" w:sz="4" w:space="0"/>
              <w:left w:val="nil"/>
              <w:bottom w:val="single" w:color="999999" w:sz="4" w:space="0"/>
              <w:right w:val="nil"/>
            </w:tcBorders>
          </w:tcPr>
          <w:p w14:paraId="1D74EEC1">
            <w:pPr>
              <w:jc w:val="center"/>
            </w:pPr>
            <w:r>
              <w:rPr>
                <w:rFonts w:ascii="Times New Roman" w:hAnsi="Times New Roman"/>
                <w:sz w:val="17"/>
              </w:rPr>
              <w:t>347</w:t>
            </w:r>
          </w:p>
        </w:tc>
        <w:tc>
          <w:tcPr>
            <w:tcW w:w="1080" w:type="dxa"/>
            <w:tcBorders>
              <w:top w:val="single" w:color="999999" w:sz="4" w:space="0"/>
              <w:left w:val="nil"/>
              <w:bottom w:val="single" w:color="999999" w:sz="4" w:space="0"/>
              <w:right w:val="nil"/>
            </w:tcBorders>
          </w:tcPr>
          <w:p w14:paraId="625553C8">
            <w:pPr>
              <w:jc w:val="center"/>
            </w:pPr>
            <w:r>
              <w:rPr>
                <w:rFonts w:ascii="Times New Roman" w:hAnsi="Times New Roman"/>
                <w:sz w:val="17"/>
              </w:rPr>
              <w:t>—</w:t>
            </w:r>
          </w:p>
        </w:tc>
      </w:tr>
      <w:tr w14:paraId="1CCF7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tcPr>
          <w:p w14:paraId="07B0A5B3">
            <w:pPr>
              <w:jc w:val="left"/>
            </w:pPr>
            <w:r>
              <w:rPr>
                <w:rFonts w:ascii="Times New Roman" w:hAnsi="Times New Roman"/>
                <w:sz w:val="17"/>
              </w:rPr>
              <w:t>LaSt-ViT</w:t>
            </w:r>
          </w:p>
        </w:tc>
        <w:tc>
          <w:tcPr>
            <w:tcW w:w="1080" w:type="dxa"/>
            <w:tcBorders>
              <w:top w:val="single" w:color="999999" w:sz="4" w:space="0"/>
              <w:left w:val="nil"/>
              <w:bottom w:val="single" w:color="999999" w:sz="4" w:space="0"/>
              <w:right w:val="nil"/>
            </w:tcBorders>
          </w:tcPr>
          <w:p w14:paraId="26C97E8B">
            <w:pPr>
              <w:jc w:val="center"/>
            </w:pPr>
            <w:r>
              <w:rPr>
                <w:rFonts w:ascii="Times New Roman" w:hAnsi="Times New Roman"/>
                <w:sz w:val="17"/>
              </w:rPr>
              <w:t>CLIP-B</w:t>
            </w:r>
          </w:p>
        </w:tc>
        <w:tc>
          <w:tcPr>
            <w:tcW w:w="1080" w:type="dxa"/>
            <w:tcBorders>
              <w:top w:val="single" w:color="999999" w:sz="4" w:space="0"/>
              <w:left w:val="nil"/>
              <w:bottom w:val="single" w:color="999999" w:sz="4" w:space="0"/>
              <w:right w:val="nil"/>
            </w:tcBorders>
          </w:tcPr>
          <w:p w14:paraId="78FA53F6">
            <w:pPr>
              <w:jc w:val="center"/>
            </w:pPr>
            <w:r>
              <w:rPr>
                <w:rFonts w:ascii="Times New Roman" w:hAnsi="Times New Roman"/>
                <w:sz w:val="17"/>
              </w:rPr>
              <w:t>87.94</w:t>
            </w:r>
          </w:p>
        </w:tc>
        <w:tc>
          <w:tcPr>
            <w:tcW w:w="1080" w:type="dxa"/>
            <w:tcBorders>
              <w:top w:val="single" w:color="999999" w:sz="4" w:space="0"/>
              <w:left w:val="nil"/>
              <w:bottom w:val="single" w:color="999999" w:sz="4" w:space="0"/>
              <w:right w:val="nil"/>
            </w:tcBorders>
          </w:tcPr>
          <w:p w14:paraId="293445EF">
            <w:pPr>
              <w:jc w:val="center"/>
            </w:pPr>
            <w:r>
              <w:rPr>
                <w:rFonts w:ascii="Times New Roman" w:hAnsi="Times New Roman"/>
                <w:sz w:val="17"/>
              </w:rPr>
              <w:t>1.74</w:t>
            </w:r>
          </w:p>
        </w:tc>
        <w:tc>
          <w:tcPr>
            <w:tcW w:w="1080" w:type="dxa"/>
            <w:tcBorders>
              <w:top w:val="single" w:color="999999" w:sz="4" w:space="0"/>
              <w:left w:val="nil"/>
              <w:bottom w:val="single" w:color="999999" w:sz="4" w:space="0"/>
              <w:right w:val="nil"/>
            </w:tcBorders>
          </w:tcPr>
          <w:p w14:paraId="64AB6D51">
            <w:pPr>
              <w:jc w:val="center"/>
            </w:pPr>
            <w:r>
              <w:rPr>
                <w:rFonts w:ascii="Times New Roman" w:hAnsi="Times New Roman"/>
                <w:sz w:val="17"/>
              </w:rPr>
              <w:t>11.37</w:t>
            </w:r>
          </w:p>
        </w:tc>
        <w:tc>
          <w:tcPr>
            <w:tcW w:w="1080" w:type="dxa"/>
            <w:tcBorders>
              <w:top w:val="single" w:color="999999" w:sz="4" w:space="0"/>
              <w:left w:val="nil"/>
              <w:bottom w:val="single" w:color="999999" w:sz="4" w:space="0"/>
              <w:right w:val="nil"/>
            </w:tcBorders>
          </w:tcPr>
          <w:p w14:paraId="4528C71F">
            <w:pPr>
              <w:jc w:val="center"/>
            </w:pPr>
            <w:r>
              <w:rPr>
                <w:rFonts w:ascii="Times New Roman" w:hAnsi="Times New Roman"/>
                <w:sz w:val="17"/>
              </w:rPr>
              <w:t>13.8</w:t>
            </w:r>
          </w:p>
        </w:tc>
        <w:tc>
          <w:tcPr>
            <w:tcW w:w="1080" w:type="dxa"/>
            <w:tcBorders>
              <w:top w:val="single" w:color="999999" w:sz="4" w:space="0"/>
              <w:left w:val="nil"/>
              <w:bottom w:val="single" w:color="999999" w:sz="4" w:space="0"/>
              <w:right w:val="nil"/>
            </w:tcBorders>
          </w:tcPr>
          <w:p w14:paraId="6691B1FB">
            <w:pPr>
              <w:jc w:val="center"/>
            </w:pPr>
            <w:r>
              <w:rPr>
                <w:rFonts w:ascii="Times New Roman" w:hAnsi="Times New Roman"/>
                <w:sz w:val="17"/>
              </w:rPr>
              <w:t>687</w:t>
            </w:r>
          </w:p>
        </w:tc>
        <w:tc>
          <w:tcPr>
            <w:tcW w:w="1080" w:type="dxa"/>
            <w:tcBorders>
              <w:top w:val="single" w:color="999999" w:sz="4" w:space="0"/>
              <w:left w:val="nil"/>
              <w:bottom w:val="single" w:color="999999" w:sz="4" w:space="0"/>
              <w:right w:val="nil"/>
            </w:tcBorders>
          </w:tcPr>
          <w:p w14:paraId="090780B3">
            <w:pPr>
              <w:jc w:val="center"/>
            </w:pPr>
            <w:r>
              <w:rPr>
                <w:rFonts w:ascii="Times New Roman" w:hAnsi="Times New Roman"/>
                <w:sz w:val="17"/>
              </w:rPr>
              <w:t>1.12×</w:t>
            </w:r>
          </w:p>
        </w:tc>
      </w:tr>
      <w:tr w14:paraId="1F7D7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tcPr>
          <w:p w14:paraId="41774663">
            <w:pPr>
              <w:jc w:val="left"/>
            </w:pPr>
            <w:r>
              <w:rPr>
                <w:rFonts w:ascii="Times New Roman" w:hAnsi="Times New Roman"/>
                <w:sz w:val="17"/>
              </w:rPr>
              <w:t>DAFB-CLS</w:t>
            </w:r>
          </w:p>
        </w:tc>
        <w:tc>
          <w:tcPr>
            <w:tcW w:w="1080" w:type="dxa"/>
            <w:tcBorders>
              <w:top w:val="single" w:color="999999" w:sz="4" w:space="0"/>
              <w:left w:val="nil"/>
              <w:bottom w:val="single" w:color="999999" w:sz="4" w:space="0"/>
              <w:right w:val="nil"/>
            </w:tcBorders>
          </w:tcPr>
          <w:p w14:paraId="242C494C">
            <w:pPr>
              <w:jc w:val="center"/>
            </w:pPr>
            <w:r>
              <w:rPr>
                <w:rFonts w:ascii="Times New Roman" w:hAnsi="Times New Roman"/>
                <w:sz w:val="17"/>
              </w:rPr>
              <w:t>CLIP-B</w:t>
            </w:r>
          </w:p>
        </w:tc>
        <w:tc>
          <w:tcPr>
            <w:tcW w:w="1080" w:type="dxa"/>
            <w:tcBorders>
              <w:top w:val="single" w:color="999999" w:sz="4" w:space="0"/>
              <w:left w:val="nil"/>
              <w:bottom w:val="single" w:color="999999" w:sz="4" w:space="0"/>
              <w:right w:val="nil"/>
            </w:tcBorders>
          </w:tcPr>
          <w:p w14:paraId="77F92524">
            <w:pPr>
              <w:jc w:val="center"/>
            </w:pPr>
            <w:r>
              <w:rPr>
                <w:rFonts w:ascii="Times New Roman" w:hAnsi="Times New Roman"/>
                <w:sz w:val="17"/>
              </w:rPr>
              <w:t>87.94</w:t>
            </w:r>
          </w:p>
        </w:tc>
        <w:tc>
          <w:tcPr>
            <w:tcW w:w="1080" w:type="dxa"/>
            <w:tcBorders>
              <w:top w:val="single" w:color="999999" w:sz="4" w:space="0"/>
              <w:left w:val="nil"/>
              <w:bottom w:val="single" w:color="999999" w:sz="4" w:space="0"/>
              <w:right w:val="nil"/>
            </w:tcBorders>
          </w:tcPr>
          <w:p w14:paraId="5D9AC838">
            <w:pPr>
              <w:jc w:val="center"/>
            </w:pPr>
            <w:r>
              <w:rPr>
                <w:rFonts w:ascii="Times New Roman" w:hAnsi="Times New Roman"/>
                <w:sz w:val="17"/>
              </w:rPr>
              <w:t>1.74</w:t>
            </w:r>
          </w:p>
        </w:tc>
        <w:tc>
          <w:tcPr>
            <w:tcW w:w="1080" w:type="dxa"/>
            <w:tcBorders>
              <w:top w:val="single" w:color="999999" w:sz="4" w:space="0"/>
              <w:left w:val="nil"/>
              <w:bottom w:val="single" w:color="999999" w:sz="4" w:space="0"/>
              <w:right w:val="nil"/>
            </w:tcBorders>
          </w:tcPr>
          <w:p w14:paraId="1DE0ED72">
            <w:pPr>
              <w:jc w:val="center"/>
            </w:pPr>
            <w:r>
              <w:rPr>
                <w:rFonts w:ascii="Times New Roman" w:hAnsi="Times New Roman"/>
                <w:sz w:val="17"/>
              </w:rPr>
              <w:t>11.42</w:t>
            </w:r>
          </w:p>
        </w:tc>
        <w:tc>
          <w:tcPr>
            <w:tcW w:w="1080" w:type="dxa"/>
            <w:tcBorders>
              <w:top w:val="single" w:color="999999" w:sz="4" w:space="0"/>
              <w:left w:val="nil"/>
              <w:bottom w:val="single" w:color="999999" w:sz="4" w:space="0"/>
              <w:right w:val="nil"/>
            </w:tcBorders>
          </w:tcPr>
          <w:p w14:paraId="5864B25B">
            <w:pPr>
              <w:jc w:val="center"/>
            </w:pPr>
            <w:r>
              <w:rPr>
                <w:rFonts w:ascii="Times New Roman" w:hAnsi="Times New Roman"/>
                <w:sz w:val="17"/>
              </w:rPr>
              <w:t>15.82</w:t>
            </w:r>
          </w:p>
        </w:tc>
        <w:tc>
          <w:tcPr>
            <w:tcW w:w="1080" w:type="dxa"/>
            <w:tcBorders>
              <w:top w:val="single" w:color="999999" w:sz="4" w:space="0"/>
              <w:left w:val="nil"/>
              <w:bottom w:val="single" w:color="999999" w:sz="4" w:space="0"/>
              <w:right w:val="nil"/>
            </w:tcBorders>
          </w:tcPr>
          <w:p w14:paraId="7A99677E">
            <w:pPr>
              <w:jc w:val="center"/>
            </w:pPr>
            <w:r>
              <w:rPr>
                <w:rFonts w:ascii="Times New Roman" w:hAnsi="Times New Roman"/>
                <w:sz w:val="17"/>
              </w:rPr>
              <w:t>1033</w:t>
            </w:r>
          </w:p>
        </w:tc>
        <w:tc>
          <w:tcPr>
            <w:tcW w:w="1080" w:type="dxa"/>
            <w:tcBorders>
              <w:top w:val="single" w:color="999999" w:sz="4" w:space="0"/>
              <w:left w:val="nil"/>
              <w:bottom w:val="single" w:color="999999" w:sz="4" w:space="0"/>
              <w:right w:val="nil"/>
            </w:tcBorders>
          </w:tcPr>
          <w:p w14:paraId="7514A72A">
            <w:pPr>
              <w:jc w:val="center"/>
            </w:pPr>
            <w:r>
              <w:rPr>
                <w:rFonts w:ascii="Times New Roman" w:hAnsi="Times New Roman"/>
                <w:sz w:val="17"/>
              </w:rPr>
              <w:t>1.28×</w:t>
            </w:r>
          </w:p>
        </w:tc>
      </w:tr>
    </w:tbl>
    <w:p w14:paraId="70B95AEB"/>
    <w:p w14:paraId="135A7B59">
      <w:pPr>
        <w:pStyle w:val="19"/>
        <w:spacing w:after="80"/>
      </w:pPr>
      <w:r>
        <w:rPr>
          <w:rFonts w:ascii="Times New Roman" w:hAnsi="Times New Roman"/>
          <w:b w:val="0"/>
          <w:i w:val="0"/>
          <w:sz w:val="20"/>
        </w:rPr>
        <w:t>DAFB-CLS adds only 0.59M trainable parameters for DINO (2.7% of backbone) and 1.74M for OpenCLIP (2.0%). The inference latency overhead is +1.82 ms for DINO (1.31×) and +3.45 ms for OpenCLIP (1.28×) — modest compared to the substantial accuracy gains. The primary cost is GPU memory: DAFB-CLS requires 276 MB for DINO (~2.8× baseline) and 1033 MB for OpenCLIP (~3.0× baseline), driven by storing multi-layer patch features during the forward pass. Memory scales linearly with the number of extracted layers; reducing to 2 layers would approximately halve the memory requirement.</w:t>
      </w:r>
    </w:p>
    <w:bookmarkEnd w:id="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892D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76" w:lineRule="auto"/>
    </w:pPr>
    <w:rPr>
      <w:rFonts w:ascii="Times New Roman" w:hAnsi="Times New Roman"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0"/>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Cs/>
      <w:i/>
      <w:color w:val="000000"/>
      <w:sz w:val="2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507</Words>
  <Characters>3117</Characters>
  <Lines>0</Lines>
  <Paragraphs>0</Paragraphs>
  <TotalTime>0</TotalTime>
  <ScaleCrop>false</ScaleCrop>
  <LinksUpToDate>false</LinksUpToDate>
  <CharactersWithSpaces>3587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张峻祎</cp:lastModifiedBy>
  <dcterms:modified xsi:type="dcterms:W3CDTF">2026-05-27T13:40:05Z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eyJoZGlkIjoiNmE5ZTgzYTRmMmFkOTRkZTEyOTIzNjQ3N2E0NThiN2IiLCJ1c2VySWQiOiIxNjIyMjU0MTA1In0=</vt:lpwstr>
  </property>
  <property fmtid="{D5CDD505-2E9C-101B-9397-08002B2CF9AE}" pid="3" name="KSOProductBuildVer">
    <vt:lpwstr>2052-12.1.0.23542</vt:lpwstr>
  </property>
  <property fmtid="{D5CDD505-2E9C-101B-9397-08002B2CF9AE}" pid="4" name="ICV">
    <vt:lpwstr>8C9FCDF2BAE84AD9A77560F80FB925C4_12</vt:lpwstr>
  </property>
</Properties>
</file>