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9E396">
      <w:pPr>
        <w:jc w:val="center"/>
      </w:pPr>
      <w:r>
        <w:rPr>
          <w:rFonts w:ascii="Times New Roman" w:hAnsi="Times New Roman" w:eastAsia="宋体"/>
          <w:b/>
          <w:i w:val="0"/>
          <w:sz w:val="32"/>
        </w:rPr>
        <w:t>DAFB-CLS：面向视觉 Transformer 的深度自适应前景—背景 CLS 解耦</w:t>
      </w:r>
    </w:p>
    <w:p w14:paraId="790207BD">
      <w:pPr>
        <w:spacing w:before="160" w:after="80"/>
      </w:pPr>
      <w:r>
        <w:rPr>
          <w:rFonts w:ascii="Times New Roman" w:hAnsi="Times New Roman" w:eastAsia="宋体"/>
          <w:b/>
          <w:i w:val="0"/>
          <w:sz w:val="28"/>
        </w:rPr>
        <w:t>摘要</w:t>
      </w:r>
    </w:p>
    <w:p w14:paraId="52732080">
      <w:pPr>
        <w:spacing w:after="60" w:line="276" w:lineRule="auto"/>
        <w:ind w:firstLine="420"/>
      </w:pPr>
      <w:r>
        <w:rPr>
          <w:rFonts w:ascii="Times New Roman" w:hAnsi="Times New Roman" w:eastAsia="宋体"/>
          <w:b w:val="0"/>
          <w:i w:val="0"/>
          <w:sz w:val="21"/>
        </w:rPr>
        <w:t>视觉 Transformer（ViT）通常将图像块特征聚合到一个全局 [CLS] 标记中，但在图像级监督条件下，[CLS] 标记会表现出“惰性聚合”现象：它倾向于把注意力作为一种计算捷径分配给背景图像块，从而稀释密集预测任务所需的前景信号。已有的后处理方法往往只依赖单一的前景线索对图像块打分，并使用固定的选择预算；当该线索本身存在歧义，或者目标尺寸变化较大时，这类方法容易失效。除空间维度外，标准残差连接还会在深度方向上以近似均匀的方式稀释各层贡献，而忽略了前景和背景往往受益于不同层次表示这一事实。</w:t>
      </w:r>
    </w:p>
    <w:p w14:paraId="3FF61E28">
      <w:pPr>
        <w:spacing w:after="60" w:line="276" w:lineRule="auto"/>
        <w:ind w:firstLine="420"/>
      </w:pPr>
      <w:r>
        <w:rPr>
          <w:rFonts w:ascii="Times New Roman" w:hAnsi="Times New Roman" w:eastAsia="宋体"/>
          <w:b w:val="0"/>
          <w:i w:val="0"/>
          <w:sz w:val="21"/>
        </w:rPr>
        <w:t>本文提出 DAFB-CLS，这是一种轻量级后处理框架，用于同时解决空间维度与深度维度上的聚合问题。在空间上，该方法融合频率稳定性、深度一致性、语义对齐和空间紧致性四种互补的前景性线索，形成图像自适应软掩码，以替代脆弱的单线索打分。在深度上，该方法将 [CLS] 标记解耦为独立的前景流和背景流，并为两条流分别学习多层特征上的深度注意力。随后，任务自适应门控机制对得到的表示进行融合。DAFB-CLS 在冻结骨干网络特征上训练，仅增加 0.59M 参数，不到 ViT-S/16 参数量的 3%，并且不需要文本监督。</w:t>
      </w:r>
    </w:p>
    <w:p w14:paraId="24B053ED">
      <w:pPr>
        <w:spacing w:after="60" w:line="276" w:lineRule="auto"/>
        <w:ind w:firstLine="420"/>
      </w:pPr>
      <w:r>
        <w:rPr>
          <w:rFonts w:ascii="Times New Roman" w:hAnsi="Times New Roman" w:eastAsia="宋体"/>
          <w:b w:val="0"/>
          <w:i w:val="0"/>
          <w:sz w:val="21"/>
        </w:rPr>
        <w:t>在无监督目标发现任务中，DAFB-CLS 在 VOC 2012 上取得 79.43% 的 CorLoc 和 31.27% 的 Mask IoU，相比 LaSt-ViT 分别提升 13.7 和 18.0 个百分点；在 COCO 2017 上也保持一致的跨数据集增益，CorLoc 和 Mask IoU 分别提升 11.4 和 15.8 个百分点。在开放词汇分割任务中，该方法达到 61.70% 的 mIoU 和 79.64% 的 PiB。消融实验表明，多线索前景性、自适应预算、双 CLS 结构以及独立深度注意力分别带来不同方面的性能贡献。压力测试进一步指出，稳定背景场景是当前主要失败模式，这也提示后续工作可进一步研究高频拒绝机制。</w:t>
      </w:r>
    </w:p>
    <w:p w14:paraId="71290D4E">
      <w:pPr>
        <w:spacing w:before="160" w:after="80"/>
      </w:pPr>
      <w:r>
        <w:rPr>
          <w:rFonts w:ascii="Times New Roman" w:hAnsi="Times New Roman" w:eastAsia="宋体"/>
          <w:b/>
          <w:i w:val="0"/>
          <w:sz w:val="28"/>
        </w:rPr>
        <w:t>I. 引言</w:t>
      </w:r>
    </w:p>
    <w:p w14:paraId="20FEE353">
      <w:pPr>
        <w:spacing w:after="60" w:line="276" w:lineRule="auto"/>
        <w:ind w:firstLine="420"/>
      </w:pPr>
      <w:r>
        <w:rPr>
          <w:rFonts w:ascii="Times New Roman" w:hAnsi="Times New Roman" w:eastAsia="宋体"/>
          <w:b w:val="0"/>
          <w:i w:val="0"/>
          <w:sz w:val="21"/>
        </w:rPr>
        <w:t>目标发现、弱监督分割和开放词汇定位等密集视觉理解任务，需要模型在没有像素级监督的情况下识别图像中的前景区域。视觉 Transformer（ViT）已经成为这类任务中常用的骨干网络，它通过在所有层中使用自注意力，将图像块级信息聚合到 [CLS] 标记中。</w:t>
      </w:r>
    </w:p>
    <w:p w14:paraId="0681F124">
      <w:pPr>
        <w:spacing w:after="60" w:line="276" w:lineRule="auto"/>
        <w:ind w:firstLine="420"/>
      </w:pPr>
      <w:r>
        <w:rPr>
          <w:rFonts w:ascii="Times New Roman" w:hAnsi="Times New Roman" w:eastAsia="宋体"/>
          <w:b w:val="0"/>
          <w:i w:val="0"/>
          <w:sz w:val="21"/>
        </w:rPr>
        <w:t>尽管 ViT 取得了广泛成功，但它存在一种系统性偏差：在图像级监督下，[CLS] 标记更倾向于关注数量更多、统计上更容易建模的背景图像块，并将其作为计算捷径。这种惰性聚合会削弱密集预测所依赖的前景信号。与其在输出之后再进行后处理，不如直接修正聚合机制本身，这是一条更有原则性的解决路径。</w:t>
      </w:r>
    </w:p>
    <w:p w14:paraId="5CC81F08">
      <w:pPr>
        <w:spacing w:after="60" w:line="276" w:lineRule="auto"/>
        <w:ind w:firstLine="420"/>
      </w:pPr>
      <w:r>
        <w:rPr>
          <w:rFonts w:ascii="Times New Roman" w:hAnsi="Times New Roman" w:eastAsia="宋体"/>
          <w:b w:val="0"/>
          <w:i w:val="0"/>
          <w:sz w:val="21"/>
        </w:rPr>
        <w:t>第一类研究主要处理惰性聚合的空间维度问题。LaSt-ViT [2] 依据频域稳定性对图像块打分，并选择固定比例 Top-K 的最稳定图像块参与 CLS 计算。该策略虽然有效，但其单线索、固定预算的设计存在三方面固有限制。首先，频率稳定性作为唯一前景线索时，会混淆光滑前景目标与光滑背景区域，例如颜色均匀的汽车和天空都可能产生难以区分的低频激活。其次，固定 Top-K 比例无法适应不同图像中前景占比的变化，容易对小目标过度选择，对大目标选择不足。第三，背景信息被完全丢弃，而场景上下文有时对识别任务具有辅助作用。</w:t>
      </w:r>
    </w:p>
    <w:p w14:paraId="2C78FA5B">
      <w:pPr>
        <w:spacing w:after="60" w:line="276" w:lineRule="auto"/>
        <w:ind w:firstLine="420"/>
      </w:pPr>
      <w:r>
        <w:rPr>
          <w:rFonts w:ascii="Times New Roman" w:hAnsi="Times New Roman" w:eastAsia="宋体"/>
          <w:b w:val="0"/>
          <w:i w:val="0"/>
          <w:sz w:val="21"/>
        </w:rPr>
        <w:t>第二类研究关注聚合的深度维度。在标准 PreNorm Transformer 中，残差连接以相同权重累积所有层输出，随着深度增加，单层贡献逐渐被稀释 [3]。Attention Residuals（AttnRes）[4] 通过在层级表示上学习内容相关的深度注意力来缓解这一问题。然而，AttnRes 对所有标记使用同一种聚合模式。对于视觉任务而言，前景与背景的最优深度分布存在本质差异：前景目标更依赖编码语义身份的后层表示，而背景上下文更依赖保留空间布局和纹理的较早层表示。单一的深度注意力无法同时服务于二者。</w:t>
      </w:r>
    </w:p>
    <w:p w14:paraId="5B07C09A">
      <w:pPr>
        <w:spacing w:after="60" w:line="276" w:lineRule="auto"/>
        <w:ind w:firstLine="420"/>
      </w:pPr>
      <w:r>
        <w:rPr>
          <w:rFonts w:ascii="Times New Roman" w:hAnsi="Times New Roman" w:eastAsia="宋体"/>
          <w:b w:val="0"/>
          <w:i w:val="0"/>
          <w:sz w:val="21"/>
        </w:rPr>
        <w:t>第三类方法在聚合完成之后提取前景信息，而不改变聚合过程本身。CAM [5] 利用分类器梯度生成定位热图；DINO-seg [6] 对自监督 ViT 的自注意力图进行阈值化；TokenCut [7] 则对键向量亲和矩阵执行归一化割。然而，由于这些方法都作用于已经带有偏置的 [CLS] 表示之后，它们会继承同样的背景污染问题。因此，直接修正聚合机制，而非仅仅对其输出进行后处理，是改善定位质量的更合理路径。</w:t>
      </w:r>
    </w:p>
    <w:p w14:paraId="084D08D6">
      <w:pPr>
        <w:spacing w:after="60" w:line="276" w:lineRule="auto"/>
        <w:ind w:firstLine="420"/>
      </w:pPr>
      <w:r>
        <w:rPr>
          <w:rFonts w:ascii="Times New Roman" w:hAnsi="Times New Roman" w:eastAsia="宋体"/>
          <w:b w:val="0"/>
          <w:i w:val="0"/>
          <w:sz w:val="21"/>
        </w:rPr>
        <w:t>本文提出 DAFB-CLS（Depth-Adaptive Foreground-Background CLS Decoupling），这是一种轻量级后处理框架，用于联合解决空间和深度两个维度上的限制。其核心创新体现在两个方面。首先，在空间维度上，本文融合频率稳定性、深度一致性、语义对齐和空间紧致性四种互补的前景性线索，形成图像自适应软掩码，以取代脆弱的单线索评分。其次，在深度维度上，本文将 [CLS] 标记解耦为前景流和背景流，并为二者学习独立的深度注意力，再通过任务自适应门控进行融合。</w:t>
      </w:r>
    </w:p>
    <w:p w14:paraId="62D6E309">
      <w:pPr>
        <w:spacing w:after="60" w:line="276" w:lineRule="auto"/>
        <w:ind w:firstLine="420"/>
      </w:pPr>
      <w:r>
        <w:rPr>
          <w:rFonts w:ascii="Times New Roman" w:hAnsi="Times New Roman" w:eastAsia="宋体"/>
          <w:b w:val="0"/>
          <w:i w:val="0"/>
          <w:sz w:val="21"/>
        </w:rPr>
        <w:t>在 VOC 2012 上，DAFB-CLS 取得 79.43% 的 CorLoc 和 31.27% 的 Mask IoU，相比 LaSt-ViT 分别提升 13.7 和 18.0 个百分点，并且能够一致地泛化到 COCO 2017。本文的主要贡献包括：</w:t>
      </w:r>
    </w:p>
    <w:p w14:paraId="425DE46D">
      <w:pPr>
        <w:spacing w:after="60" w:line="276" w:lineRule="auto"/>
      </w:pPr>
      <w:r>
        <w:rPr>
          <w:rFonts w:ascii="Times New Roman" w:hAnsi="Times New Roman" w:eastAsia="宋体"/>
          <w:b w:val="0"/>
          <w:i w:val="0"/>
          <w:sz w:val="21"/>
        </w:rPr>
        <w:t>• 提出一种多线索前景性框架和图像自适应软掩码，相比单线索方案显著提高空间前景精度。</w:t>
      </w:r>
    </w:p>
    <w:p w14:paraId="10D511FD">
      <w:pPr>
        <w:spacing w:after="60" w:line="276" w:lineRule="auto"/>
      </w:pPr>
      <w:r>
        <w:rPr>
          <w:rFonts w:ascii="Times New Roman" w:hAnsi="Times New Roman" w:eastAsia="宋体"/>
          <w:b w:val="0"/>
          <w:i w:val="0"/>
          <w:sz w:val="21"/>
        </w:rPr>
        <w:t>• 提出一种具有独立深度注意力的双 CLS 解耦机制，分别服务于前景流和背景流。</w:t>
      </w:r>
    </w:p>
    <w:p w14:paraId="680D958C">
      <w:pPr>
        <w:spacing w:after="60" w:line="276" w:lineRule="auto"/>
      </w:pPr>
      <w:r>
        <w:rPr>
          <w:rFonts w:ascii="Times New Roman" w:hAnsi="Times New Roman" w:eastAsia="宋体"/>
          <w:b w:val="0"/>
          <w:i w:val="0"/>
          <w:sz w:val="21"/>
        </w:rPr>
        <w:t>• 在两个基准数据集上与六种基线方法进行综合比较，并通过消融实验和压力测试刻画各组件贡献及失败模式。</w:t>
      </w:r>
    </w:p>
    <w:p w14:paraId="6EF4D356">
      <w:pPr>
        <w:spacing w:after="60" w:line="276" w:lineRule="auto"/>
      </w:pPr>
      <w:r>
        <w:rPr>
          <w:rFonts w:ascii="Times New Roman" w:hAnsi="Times New Roman" w:eastAsia="宋体"/>
          <w:b w:val="0"/>
          <w:i w:val="0"/>
          <w:sz w:val="21"/>
        </w:rPr>
        <w:t>• 采用高效的后处理设计，仅增加 0.59M 可训练参数，不到骨干网络的 3%，可作为预训练 ViT 的即插即用增强模块。</w:t>
      </w:r>
    </w:p>
    <w:p w14:paraId="55E30F22">
      <w:pPr>
        <w:spacing w:before="160" w:after="80"/>
      </w:pPr>
      <w:r>
        <w:rPr>
          <w:rFonts w:ascii="Times New Roman" w:hAnsi="Times New Roman" w:eastAsia="宋体"/>
          <w:b/>
          <w:i w:val="0"/>
          <w:sz w:val="28"/>
        </w:rPr>
        <w:t>II. 相关工作</w:t>
      </w:r>
    </w:p>
    <w:p w14:paraId="13088B76">
      <w:pPr>
        <w:spacing w:after="60" w:line="276" w:lineRule="auto"/>
        <w:ind w:firstLine="420"/>
      </w:pPr>
      <w:r>
        <w:rPr>
          <w:rFonts w:ascii="Times New Roman" w:hAnsi="Times New Roman" w:eastAsia="宋体"/>
          <w:b w:val="0"/>
          <w:i w:val="0"/>
          <w:sz w:val="21"/>
        </w:rPr>
        <w:t>视觉 Transformer（ViT）[1] 添加一个可学习的 [CLS] 标记，并通过全局自注意力从所有图像块标记中聚合信息，进而生成最终图像表示。虽然这一设计在分类任务中效果良好，但默认聚合方式存在系统性偏差：在图像级监督下，[CLS] 标记倾向于从数量更多且能够通过全局注意力吸收前景信息的背景图像块中聚合，而不是从语义上更有价值的前景区域中聚合 [2]。这种惰性聚合病态会降低密集特征质量，使 PiB 定位准确率下降到 19%—48%，而卷积网络通常可达到 60%—80% [2]。</w:t>
      </w:r>
    </w:p>
    <w:p w14:paraId="345D8B9A">
      <w:pPr>
        <w:spacing w:after="60" w:line="276" w:lineRule="auto"/>
        <w:ind w:firstLine="420"/>
      </w:pPr>
      <w:r>
        <w:rPr>
          <w:rFonts w:ascii="Times New Roman" w:hAnsi="Times New Roman" w:eastAsia="宋体"/>
          <w:b w:val="0"/>
          <w:i w:val="0"/>
          <w:sz w:val="21"/>
        </w:rPr>
        <w:t>为了解决惰性聚合的空间维度问题，Shi 等人 [2] 提出了 LaSt-ViT，该方法根据谱稳定性选择图像块。对于每个图像块特征，LaSt-ViT 沿通道维执行一维 FFT，施加高斯低通滤波器 G(σ_f)=exp(−f²/(2σ_f²))，并衡量滤波后特征相对于原始特征的变化幅度。其直觉是，前景目标往往具有更稳定的低频通道激活。随后，最稳定的 Top-K 图像块被平均为聚合表示。LaSt-ViT 消除了高范数背景伪影，并在使用 CLIP ViT-B/16 的 ADE20K 零样本分割上带来 +1.3 mIoU 的提升。</w:t>
      </w:r>
    </w:p>
    <w:p w14:paraId="483FBAB9">
      <w:pPr>
        <w:spacing w:after="60" w:line="276" w:lineRule="auto"/>
        <w:ind w:firstLine="420"/>
      </w:pPr>
      <w:r>
        <w:rPr>
          <w:rFonts w:ascii="Times New Roman" w:hAnsi="Times New Roman" w:eastAsia="宋体"/>
          <w:b w:val="0"/>
          <w:i w:val="0"/>
          <w:sz w:val="21"/>
        </w:rPr>
        <w:t>然而，该方法存在三个具体限制。首先，频率稳定性作为唯一前景线索时，会把光滑前景目标与光滑背景区域混淆，例如颜色均匀的汽车、白天鹅与天空、墙面等都可能在 FFT-滤波-IFFT 流程后产生相似的低频激活。本文压力测试也证明，这种单线索策略在稳定背景图像上会系统性失败，使前景 IoU 降至 13%。</w:t>
      </w:r>
    </w:p>
    <w:p w14:paraId="453C7747">
      <w:pPr>
        <w:spacing w:after="60" w:line="276" w:lineRule="auto"/>
        <w:ind w:firstLine="420"/>
      </w:pPr>
      <w:r>
        <w:rPr>
          <w:rFonts w:ascii="Times New Roman" w:hAnsi="Times New Roman" w:eastAsia="宋体"/>
          <w:b w:val="0"/>
          <w:i w:val="0"/>
          <w:sz w:val="21"/>
        </w:rPr>
        <w:t>其次，LaSt-ViT 对所有图像使用固定 Top-K 选择比例，隐含假设前景图像块比例恒定。这种刚性预算无法适应目标尺寸变化：小目标只占很少图像块时会被代表不足，而大目标超过预算时又会损失边界精度。本文消融实验表明，用图像自适应阈值替代固定 Top-K 可使 Mask IoU 提高 17.4 个百分点。</w:t>
      </w:r>
    </w:p>
    <w:p w14:paraId="2763A233">
      <w:pPr>
        <w:spacing w:after="60" w:line="276" w:lineRule="auto"/>
        <w:ind w:firstLine="420"/>
      </w:pPr>
      <w:r>
        <w:rPr>
          <w:rFonts w:ascii="Times New Roman" w:hAnsi="Times New Roman" w:eastAsia="宋体"/>
          <w:b w:val="0"/>
          <w:i w:val="0"/>
          <w:sz w:val="21"/>
        </w:rPr>
        <w:t>第三，LaSt-ViT 完全抑制背景图像块，只聚合前景信息。这会丢弃有价值的背景上下文，例如场景类型、空间布局和共现统计，而这些信息有时能够辅助目标识别。因此，在避免背景污染前景表示的同时保留独立背景表示，是本文双 CLS 机制的核心设计目标。</w:t>
      </w:r>
    </w:p>
    <w:p w14:paraId="5E71A24B">
      <w:pPr>
        <w:spacing w:after="60" w:line="276" w:lineRule="auto"/>
        <w:ind w:firstLine="420"/>
      </w:pPr>
      <w:r>
        <w:rPr>
          <w:rFonts w:ascii="Times New Roman" w:hAnsi="Times New Roman" w:eastAsia="宋体"/>
          <w:b w:val="0"/>
          <w:i w:val="0"/>
          <w:sz w:val="21"/>
        </w:rPr>
        <w:t>除空间维度外，[CLS] 聚合的深度维度也存在互补问题。在 PreNorm Transformer 中展开残差连接可以发现，每一层输入实际上近似为此前所有层输出的均匀求和，这会造成单层贡献随着深度增长而被稀释，该现象被称为 PreNorm 稀释 [3]。Attention Residuals（AttnRes）[4] 将这一过程重新理解为一种深度注意力机制，其中注意力权重由学习到的伪查询与 RMSNorm 变换后的历史输出通过 softmax 得到。该设计使模型能够进行内容相关的深度选择，同时只引入 d 维向量作为额外参数。AttnRes 在语言建模基准上展示了计算效率，并消除了隐藏状态幅值的单调增长。虽然 AttnRes 证明了内容相关深度选择在自然语言处理中的价值，但视觉 Transformer 还存在额外挑战：前景与背景不仅在空间位置上不同，也在最适合表示它们的层次上不同，前景目标更依赖后层语义表示，而背景上下文更依赖较早层空间表示。</w:t>
      </w:r>
    </w:p>
    <w:p w14:paraId="251A6032">
      <w:pPr>
        <w:spacing w:after="60" w:line="276" w:lineRule="auto"/>
        <w:ind w:firstLine="420"/>
      </w:pPr>
      <w:r>
        <w:rPr>
          <w:rFonts w:ascii="Times New Roman" w:hAnsi="Times New Roman" w:eastAsia="宋体"/>
          <w:b w:val="0"/>
          <w:i w:val="0"/>
          <w:sz w:val="21"/>
        </w:rPr>
        <w:t>然而，AttnRes 对所有标记应用同一套聚合机制。在视觉 Transformer 中，前景和背景信息的最优深度聚合模式有本质差异：前景目标受益于编码语义身份的后层，而背景上下文更依赖保存空间布局和纹理的前层。这种异质性说明，将深度注意力与前景—背景流分离相结合，可能比统一深度聚合带来更明显的收益。</w:t>
      </w:r>
    </w:p>
    <w:p w14:paraId="1A0C32E6">
      <w:pPr>
        <w:spacing w:after="60" w:line="276" w:lineRule="auto"/>
        <w:ind w:firstLine="420"/>
      </w:pPr>
      <w:r>
        <w:rPr>
          <w:rFonts w:ascii="Times New Roman" w:hAnsi="Times New Roman" w:eastAsia="宋体"/>
          <w:b w:val="0"/>
          <w:i w:val="0"/>
          <w:sz w:val="21"/>
        </w:rPr>
        <w:t>第三条研究路线是在 [CLS] 聚合已经发生之后再提取前景信息，而不改变聚合过程本身。类激活映射（CAM）[5] 通过分类器梯度加权激活图以生成定位热图，但它会继承底层分类器的背景偏置，因此在本文评估中仅达到 21%—25% 的 PiB，因为带偏置的 [CLS] 表示直接参与热图计算。DINO-seg [6] 从自监督 ViT 中提取自注意力图，能够产生更具空间一致性的图，但仍存在背景激活，需要 PCA 聚类和阈值化等后处理启发式操作。TokenCut [7] 在图像块特征上构建自相似图，并通过归一化割划分前景标记，目标发现效果较强，但需要 O(N²) 的图构建开销。</w:t>
      </w:r>
    </w:p>
    <w:p w14:paraId="41E8BFC7">
      <w:pPr>
        <w:spacing w:after="60" w:line="276" w:lineRule="auto"/>
        <w:ind w:firstLine="420"/>
      </w:pPr>
      <w:r>
        <w:rPr>
          <w:rFonts w:ascii="Times New Roman" w:hAnsi="Times New Roman" w:eastAsia="宋体"/>
          <w:b w:val="0"/>
          <w:i w:val="0"/>
          <w:sz w:val="21"/>
        </w:rPr>
        <w:t>这些方法的共同根本限制在于，它们都在带偏置聚合之后运行。当前景提取开始时，背景信息已经污染了 [CLS] 表示。因此，直接修正聚合机制本身，而非对其输出进行后处理，是提升密集特征质量的更有原则性的路径。</w:t>
      </w:r>
    </w:p>
    <w:p w14:paraId="7766D768">
      <w:pPr>
        <w:spacing w:after="60" w:line="276" w:lineRule="auto"/>
        <w:ind w:firstLine="420"/>
      </w:pPr>
      <w:r>
        <w:rPr>
          <w:rFonts w:ascii="Times New Roman" w:hAnsi="Times New Roman" w:eastAsia="宋体"/>
          <w:b w:val="0"/>
          <w:i w:val="0"/>
          <w:sz w:val="21"/>
        </w:rPr>
        <w:t>本文的 DAFB-CLS 直接面向聚合机制，通过联合解决上述空间和深度维度限制来改进表示。基于 LaSt-ViT 的频率引导选择，本文引入四种互补线索丰富前景信号，并用图像自适应软掩码替代固定 Top-K 策略；在 AttnRes 深度注意力思想基础上，本文将 CLS 标记解耦为独立的前景流和背景流，并为每条流学习自身的深度聚合。二者共同构成统一的后处理框架，在不修改冻结骨干网络的情况下显著提升前景定位性能。</w:t>
      </w:r>
    </w:p>
    <w:p w14:paraId="0B87711C">
      <w:pPr>
        <w:spacing w:before="160" w:after="80"/>
      </w:pPr>
      <w:r>
        <w:rPr>
          <w:rFonts w:ascii="Times New Roman" w:hAnsi="Times New Roman" w:eastAsia="宋体"/>
          <w:b/>
          <w:i w:val="0"/>
          <w:sz w:val="28"/>
        </w:rPr>
        <w:t>III. 方法</w:t>
      </w:r>
    </w:p>
    <w:p w14:paraId="30BE6E8F">
      <w:pPr>
        <w:spacing w:before="160" w:after="80"/>
      </w:pPr>
      <w:r>
        <w:rPr>
          <w:rFonts w:ascii="Times New Roman" w:hAnsi="Times New Roman" w:eastAsia="宋体"/>
          <w:b/>
          <w:i w:val="0"/>
          <w:sz w:val="24"/>
        </w:rPr>
        <w:t>A. 总体框架</w:t>
      </w:r>
    </w:p>
    <w:p w14:paraId="3F64F87A">
      <w:pPr>
        <w:spacing w:after="60" w:line="276" w:lineRule="auto"/>
        <w:ind w:firstLine="420"/>
        <w:rPr>
          <w:rFonts w:ascii="Times New Roman" w:hAnsi="Times New Roman" w:eastAsia="宋体"/>
          <w:b w:val="0"/>
          <w:i w:val="0"/>
          <w:sz w:val="21"/>
        </w:rPr>
      </w:pPr>
      <w:r>
        <w:rPr>
          <w:rFonts w:ascii="Times New Roman" w:hAnsi="Times New Roman" w:eastAsia="宋体"/>
          <w:b w:val="0"/>
          <w:i w:val="0"/>
          <w:sz w:val="21"/>
        </w:rPr>
        <w:t>本文考虑一个冻结的 ViT 骨干网络 Φ，它将尺寸为 H×W×3 的图像处理为 N=(H/P)×(W/P) 个图像块标记以及一个 [CLS] 标记，并在 L 个 Transformer 模块中逐层产生表示。本文目标是在不修改 Φ 的情况下，训练一个轻量级后处理聚合模块，从而改善图像表示 C。</w:t>
      </w:r>
    </w:p>
    <w:p w14:paraId="060EE5B9">
      <w:pPr>
        <w:spacing w:after="60" w:line="276" w:lineRule="auto"/>
        <w:ind w:firstLine="420"/>
      </w:pPr>
      <w:r>
        <w:drawing>
          <wp:inline distT="0" distB="0" distL="114300" distR="114300">
            <wp:extent cx="3931285" cy="4958715"/>
            <wp:effectExtent l="0" t="0" r="571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rcRect l="18663" t="26431" r="32668" b="27784"/>
                    <a:stretch>
                      <a:fillRect/>
                    </a:stretch>
                  </pic:blipFill>
                  <pic:spPr>
                    <a:xfrm>
                      <a:off x="0" y="0"/>
                      <a:ext cx="3931285" cy="4958715"/>
                    </a:xfrm>
                    <a:prstGeom prst="rect">
                      <a:avLst/>
                    </a:prstGeom>
                  </pic:spPr>
                </pic:pic>
              </a:graphicData>
            </a:graphic>
          </wp:inline>
        </w:drawing>
      </w:r>
    </w:p>
    <w:p w14:paraId="0E05B567">
      <w:pPr>
        <w:spacing w:after="60" w:line="276" w:lineRule="auto"/>
        <w:ind w:firstLine="420"/>
        <w:jc w:val="center"/>
      </w:pPr>
      <w:r>
        <w:rPr>
          <w:rFonts w:ascii="宋体" w:hAnsi="宋体" w:eastAsia="宋体" w:cs="宋体"/>
          <w:sz w:val="24"/>
          <w:szCs w:val="24"/>
        </w:rPr>
        <w:t>算法1：DAFB-CLS 前向传播过程</w:t>
      </w:r>
    </w:p>
    <w:p w14:paraId="17B6A9CB">
      <w:pPr>
        <w:spacing w:after="60" w:line="276" w:lineRule="auto"/>
        <w:ind w:firstLine="420"/>
      </w:pPr>
      <w:r>
        <w:rPr>
          <w:rFonts w:ascii="Times New Roman" w:hAnsi="Times New Roman" w:eastAsia="宋体"/>
          <w:b w:val="0"/>
          <w:i w:val="0"/>
          <w:sz w:val="21"/>
        </w:rPr>
        <w:t>具体而言，DAFB-CLS 由三个部分组成。第一，前景打分与掩码模块融合多种互补线索，为每个图像块生成前景性得分，并转换为图像自适应软掩码。第二，双 CLS 与深度注意力模块将 CLS 标记解耦为前景流和背景流，对两条流分别应用独立的深度注意力，生成互补表示 C_F 与 C_B。第三，任务自适应融合模块根据全局图像特征学习门控组合，得到最终表示 C，使其适用于目标发现、分类和分割等下游任务。</w:t>
      </w:r>
    </w:p>
    <w:p w14:paraId="02ED75E7">
      <w:pPr>
        <w:jc w:val="center"/>
      </w:pPr>
      <w:r>
        <w:drawing>
          <wp:inline distT="0" distB="0" distL="114300" distR="114300">
            <wp:extent cx="6035040" cy="179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b="25677"/>
                    <a:stretch>
                      <a:fillRect/>
                    </a:stretch>
                  </pic:blipFill>
                  <pic:spPr>
                    <a:xfrm>
                      <a:off x="0" y="0"/>
                      <a:ext cx="6035040" cy="1793875"/>
                    </a:xfrm>
                    <a:prstGeom prst="rect">
                      <a:avLst/>
                    </a:prstGeom>
                  </pic:spPr>
                </pic:pic>
              </a:graphicData>
            </a:graphic>
          </wp:inline>
        </w:drawing>
      </w:r>
    </w:p>
    <w:p w14:paraId="58AAB663">
      <w:pPr>
        <w:spacing w:after="60" w:line="276" w:lineRule="auto"/>
        <w:jc w:val="left"/>
      </w:pPr>
      <w:r>
        <w:rPr>
          <w:rFonts w:ascii="Times New Roman" w:hAnsi="Times New Roman" w:eastAsia="宋体"/>
          <w:b w:val="0"/>
          <w:i w:val="0"/>
          <w:sz w:val="19"/>
        </w:rPr>
        <w:t>图 1. DAFB-CLS 框架概览。给定冻结的 ViT 骨干网络，在 {3, 6, 9, 12} 层提取多层图像块特征。前景打分模块将频率稳定性、深度一致性、语义对齐和空间紧致性融合为每个图像块的前景性得分，并通过学习阈值产生图像自适应软掩码。前景和背景 CLS 标记分别由软掩码及其互补权重加权平均得到。随后，独立的深度注意力对两条流跨层聚合，任务自适应门控再将 C_F 与 C_B 融合为最终表示 C。</w:t>
      </w:r>
    </w:p>
    <w:p w14:paraId="3CB98FEE">
      <w:pPr>
        <w:spacing w:before="160" w:after="80"/>
      </w:pPr>
      <w:r>
        <w:rPr>
          <w:rFonts w:ascii="Times New Roman" w:hAnsi="Times New Roman" w:eastAsia="宋体"/>
          <w:b/>
          <w:i w:val="0"/>
          <w:sz w:val="24"/>
        </w:rPr>
        <w:t>B. 前景打分与自适应掩码</w:t>
      </w:r>
    </w:p>
    <w:p w14:paraId="261B0D05">
      <w:pPr>
        <w:spacing w:after="60" w:line="276" w:lineRule="auto"/>
        <w:ind w:firstLine="420"/>
      </w:pPr>
      <w:r>
        <w:rPr>
          <w:rFonts w:ascii="Times New Roman" w:hAnsi="Times New Roman" w:eastAsia="宋体"/>
          <w:b w:val="0"/>
          <w:i w:val="0"/>
          <w:sz w:val="21"/>
        </w:rPr>
        <w:t>动机。LaSt-ViT 表明，频域稳定性有助于区分前景和背景图像块，但只依赖单一线索会形成脆弱信号：当前景目标本身也非常平滑时，例如白天鹅，它就会与天空等平滑背景区域难以区分。此外，固定 Top-K 选择比例默认所有图像具有相同前景比例，而自然图像中的目标尺寸和场景复杂度差异很大。这两个问题促使本文引入多种互补线索丰富前景信号，并用图像自适应阈值替代刚性预算。</w:t>
      </w:r>
    </w:p>
    <w:p w14:paraId="1DD93A7D">
      <w:pPr>
        <w:spacing w:after="60" w:line="276" w:lineRule="auto"/>
        <w:ind w:firstLine="420"/>
      </w:pPr>
      <w:r>
        <w:rPr>
          <w:rFonts w:ascii="Times New Roman" w:hAnsi="Times New Roman" w:eastAsia="宋体"/>
          <w:b w:val="0"/>
          <w:i w:val="0"/>
          <w:sz w:val="21"/>
        </w:rPr>
        <w:t xml:space="preserve">多线索前景性打分。本文设计四种能够从正交角度刻画前景性的线索，每种线索均产生大小为 B×N 的图像块得分矩阵。频率稳定性 S_i 沿用 LaSt-ViT 的思想：对每个图像块特征沿通道维计算一维 FFT，施加高斯低通滤波器 </w:t>
      </w:r>
      <m:oMath>
        <m:r>
          <m:rPr/>
          <m:t>G</m:t>
        </m:r>
        <m:d>
          <m:dPr>
            <m:sepChr m:val=""/>
          </m:dPr>
          <m:e>
            <m:sSub>
              <m:sSubPr/>
              <m:e>
                <m:r>
                  <m:rPr/>
                  <m:t>σ</m:t>
                </m:r>
              </m:e>
              <m:sub>
                <m:r>
                  <m:rPr/>
                  <m:t>f</m:t>
                </m:r>
              </m:sub>
            </m:sSub>
          </m:e>
        </m:d>
        <m:r>
          <m:rPr>
            <m:sty m:val="p"/>
          </m:rPr>
          <m:t>=exp</m:t>
        </m:r>
        <m:d>
          <m:dPr>
            <m:sepChr m:val=""/>
          </m:dPr>
          <m:e>
            <m:r>
              <m:rPr>
                <m:sty m:val="p"/>
              </m:rPr>
              <m:t>−</m:t>
            </m:r>
            <m:f>
              <m:fPr/>
              <m:num>
                <m:sSup>
                  <m:sSupPr/>
                  <m:e>
                    <m:r>
                      <m:rPr/>
                      <m:t>f</m:t>
                    </m:r>
                  </m:e>
                  <m:sup>
                    <m:r>
                      <m:rPr/>
                      <m:t>2</m:t>
                    </m:r>
                  </m:sup>
                </m:sSup>
              </m:num>
              <m:den>
                <m:r>
                  <m:rPr/>
                  <m:t>2</m:t>
                </m:r>
                <m:sSubSup>
                  <m:sSubSupPr/>
                  <m:e>
                    <m:r>
                      <m:rPr/>
                      <m:t>σ</m:t>
                    </m:r>
                  </m:e>
                  <m:sub>
                    <m:r>
                      <m:rPr/>
                      <m:t>f</m:t>
                    </m:r>
                  </m:sub>
                  <m:sup>
                    <m:r>
                      <m:rPr/>
                      <m:t>2</m:t>
                    </m:r>
                  </m:sup>
                </m:sSubSup>
              </m:den>
            </m:f>
          </m:e>
        </m:d>
      </m:oMath>
      <w:r>
        <w:rPr>
          <w:rFonts w:ascii="Times New Roman" w:hAnsi="Times New Roman" w:eastAsia="宋体"/>
          <w:b w:val="0"/>
          <w:i w:val="0"/>
          <w:sz w:val="21"/>
        </w:rPr>
        <w:t>，并计算滤波后信号与原始信号之间的比例。前景图像块通常具有更稳定的低频激活，因此会得到更高的 S_i。</w:t>
      </w:r>
    </w:p>
    <w:p w14:paraId="07DE8692">
      <w:pPr>
        <w:spacing w:after="60" w:line="276" w:lineRule="auto"/>
        <w:ind w:firstLine="420"/>
      </w:pPr>
      <w:r>
        <w:rPr>
          <w:rFonts w:ascii="Times New Roman" w:hAnsi="Times New Roman" w:eastAsia="宋体"/>
          <w:b w:val="0"/>
          <w:i w:val="0"/>
          <w:sz w:val="21"/>
        </w:rPr>
        <w:t>深度一致性 D_i 基于这样一种观察：属于语义目标的图像块在网络深度方向上往往保持更一致的表示，而背景图像块缺乏强语义锚定，一致性较弱。本文将每层特征与跨层均值之间的平均余弦相似度作为一致性度量：</w:t>
      </w:r>
    </w:p>
    <w:p w14:paraId="3F9D2BB7">
      <w:pPr>
        <w:spacing w:after="60" w:line="276" w:lineRule="auto"/>
        <w:ind w:firstLine="420"/>
        <w:rPr>
          <w:rFonts w:ascii="Times New Roman" w:hAnsi="Times New Roman"/>
          <w:sz w:val="20"/>
        </w:rPr>
      </w:pPr>
      <m:oMath>
        <m:sSub>
          <m:sSubPr/>
          <m:e>
            <m:bar>
              <m:barPr>
                <m:pos m:val="top"/>
              </m:barPr>
              <m:e>
                <m:r>
                  <m:rPr/>
                  <m:t>p</m:t>
                </m:r>
              </m:e>
            </m:ba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P</m:t>
                </m:r>
              </m:e>
              <m:sub>
                <m:r>
                  <m:rPr/>
                  <m:t>i</m:t>
                </m:r>
              </m:sub>
              <m:sup>
                <m:sSub>
                  <m:sSubPr/>
                  <m:e>
                    <m:r>
                      <m:rPr/>
                      <m:t>l</m:t>
                    </m:r>
                  </m:e>
                  <m:sub>
                    <m:r>
                      <m:rPr/>
                      <m:t>k</m:t>
                    </m:r>
                  </m:sub>
                </m:sSub>
              </m:sup>
            </m:sSubSup>
          </m:e>
        </m:nary>
        <m:r>
          <m:rPr>
            <m:sty m:val="p"/>
          </m:rPr>
          <m:t>,</m:t>
        </m:r>
        <m:r>
          <m:rPr/>
          <m:t> </m:t>
        </m:r>
        <m:sSub>
          <m:sSubPr/>
          <m:e>
            <m:r>
              <m:rPr/>
              <m:t>D</m:t>
            </m: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f>
              <m:fPr/>
              <m:num>
                <m:sSubSup>
                  <m:sSubSupPr/>
                  <m:e>
                    <m:r>
                      <m:rPr/>
                      <m:t>P</m:t>
                    </m:r>
                  </m:e>
                  <m:sub>
                    <m:r>
                      <m:rPr/>
                      <m:t>i</m:t>
                    </m:r>
                  </m:sub>
                  <m:sup>
                    <m:sSub>
                      <m:sSubPr/>
                      <m:e>
                        <m:r>
                          <m:rPr/>
                          <m:t>l</m:t>
                        </m:r>
                      </m:e>
                      <m:sub>
                        <m:r>
                          <m:rPr/>
                          <m:t>k</m:t>
                        </m:r>
                      </m:sub>
                    </m:sSub>
                  </m:sup>
                </m:sSubSup>
                <m:r>
                  <m:rPr>
                    <m:sty m:val="p"/>
                  </m:rPr>
                  <m:t>⋅</m:t>
                </m:r>
                <m:sSub>
                  <m:sSubPr/>
                  <m:e>
                    <m:bar>
                      <m:barPr>
                        <m:pos m:val="top"/>
                      </m:barPr>
                      <m:e>
                        <m:r>
                          <m:rPr/>
                          <m:t>p</m:t>
                        </m:r>
                      </m:e>
                    </m:bar>
                  </m:e>
                  <m:sub>
                    <m:r>
                      <m:rPr/>
                      <m:t>i</m:t>
                    </m:r>
                  </m:sub>
                </m:sSub>
              </m:num>
              <m:den>
                <m:sSub>
                  <m:sSubPr/>
                  <m:e>
                    <m:d>
                      <m:dPr>
                        <m:begChr m:val="∥"/>
                        <m:sepChr m:val=""/>
                        <m:endChr m:val="∥"/>
                      </m:dPr>
                      <m:e>
                        <m:m>
                          <m:mPr>
                            <m:mcs>
                              <m:mc>
                                <m:mcPr>
                                  <m:count m:val="1"/>
                                  <m:mcJc m:val="center"/>
                                </m:mcPr>
                              </m:mc>
                            </m:mcs>
                            <m:plcHide m:val="1"/>
                          </m:mPr>
                          <m:mr>
                            <m:e>
                              <m:sSubSup>
                                <m:sSubSupPr/>
                                <m:e>
                                  <m:r>
                                    <m:rPr/>
                                    <m:t>P</m:t>
                                  </m:r>
                                </m:e>
                                <m:sub>
                                  <m:r>
                                    <m:rPr/>
                                    <m:t>i</m:t>
                                  </m:r>
                                </m:sub>
                                <m:sup>
                                  <m:sSub>
                                    <m:sSubPr/>
                                    <m:e>
                                      <m:r>
                                        <m:rPr/>
                                        <m:t>l</m:t>
                                      </m:r>
                                    </m:e>
                                    <m:sub>
                                      <m:r>
                                        <m:rPr/>
                                        <m:t>k</m:t>
                                      </m:r>
                                    </m:sub>
                                  </m:sSub>
                                </m:sup>
                              </m:sSubSup>
                            </m:e>
                          </m:mr>
                        </m:m>
                      </m:e>
                    </m:d>
                  </m:e>
                  <m:sub>
                    <m:r>
                      <m:rPr/>
                      <m:t>2</m:t>
                    </m:r>
                  </m:sub>
                </m:sSub>
                <m:sSub>
                  <m:sSubPr/>
                  <m:e>
                    <m:d>
                      <m:dPr>
                        <m:begChr m:val="∥"/>
                        <m:sepChr m:val=""/>
                        <m:endChr m:val="∥"/>
                      </m:dPr>
                      <m:e>
                        <m:m>
                          <m:mPr>
                            <m:mcs>
                              <m:mc>
                                <m:mcPr>
                                  <m:count m:val="1"/>
                                  <m:mcJc m:val="center"/>
                                </m:mcPr>
                              </m:mc>
                            </m:mcs>
                            <m:plcHide m:val="1"/>
                          </m:mPr>
                          <m:mr>
                            <m:e>
                              <m:sSub>
                                <m:sSubPr/>
                                <m:e>
                                  <m:bar>
                                    <m:barPr>
                                      <m:pos m:val="top"/>
                                    </m:barPr>
                                    <m:e>
                                      <m:r>
                                        <m:rPr/>
                                        <m:t>p</m:t>
                                      </m:r>
                                    </m:e>
                                  </m:bar>
                                </m:e>
                                <m:sub>
                                  <m:r>
                                    <m:rPr/>
                                    <m:t>i</m:t>
                                  </m:r>
                                </m:sub>
                              </m:sSub>
                            </m:e>
                          </m:mr>
                        </m:m>
                      </m:e>
                    </m:d>
                  </m:e>
                  <m:sub>
                    <m:r>
                      <m:rPr/>
                      <m:t>2</m:t>
                    </m:r>
                  </m:sub>
                </m:sSub>
              </m:den>
            </m:f>
          </m:e>
        </m:nary>
      </m:oMath>
      <w:r>
        <w:rPr>
          <w:rFonts w:ascii="Times New Roman" w:hAnsi="Times New Roman"/>
          <w:sz w:val="20"/>
        </w:rPr>
        <w:t xml:space="preserve"> (1)</w:t>
      </w:r>
    </w:p>
    <w:p w14:paraId="0A18B79A">
      <w:pPr>
        <w:spacing w:after="60" w:line="276" w:lineRule="auto"/>
        <w:ind w:firstLine="420"/>
      </w:pPr>
      <w:r>
        <w:rPr>
          <w:rFonts w:ascii="Times New Roman" w:hAnsi="Times New Roman" w:eastAsia="宋体"/>
          <w:b w:val="0"/>
          <w:i w:val="0"/>
          <w:sz w:val="21"/>
        </w:rPr>
        <w:t>语义对齐 A_i 衡量每个图像块特征与全局 [CLS] 标记在各层之间的对齐程度，具体通过计算其与 c_cls 的平均余弦相似度得到。对于文本监督骨干网络，本文还可在最后一个提取层中选择与文本原型 t_j 的最大余弦相似度作为可选的文本引导对齐。空间紧致性 C_i 则反映前景目标通常占据空间连续区域这一事实。本文对语义对齐得分图施加 3×3 平均池化，从而在无需额外参数的情况下增强局部邻域一致性。</w:t>
      </w:r>
    </w:p>
    <w:p w14:paraId="5EB6F1C2">
      <w:pPr>
        <w:spacing w:after="60" w:line="276" w:lineRule="auto"/>
        <w:ind w:firstLine="420"/>
      </w:pPr>
      <w:r>
        <w:rPr>
          <w:rFonts w:ascii="Times New Roman" w:hAnsi="Times New Roman" w:eastAsia="宋体"/>
          <w:b w:val="0"/>
          <w:i w:val="0"/>
          <w:sz w:val="21"/>
        </w:rPr>
        <w:t>四种线索通过学习到的 softmax 权重与两层 MLP 共同融合，其中 MLP 用于捕捉非线性线索交互：</w:t>
      </w:r>
    </w:p>
    <w:p w14:paraId="1E83C68A">
      <w:pPr>
        <w:pStyle w:val="19"/>
      </w:pPr>
      <m:oMath>
        <m:sSub>
          <m:sSubPr/>
          <m:e>
            <m:r>
              <m:rPr/>
              <m:t>F</m:t>
            </m:r>
          </m:e>
          <m:sub>
            <m:r>
              <m:rPr/>
              <m:t>i</m:t>
            </m:r>
          </m:sub>
        </m:sSub>
        <m:r>
          <m:rPr>
            <m:sty m:val="p"/>
          </m:rPr>
          <m:t>=</m:t>
        </m:r>
        <m:limLow>
          <m:limLowPr/>
          <m:e>
            <m:limLow>
              <m:limLowPr/>
              <m:e>
                <m:nary>
                  <m:naryPr>
                    <m:chr m:val="∑"/>
                    <m:limLoc m:val="undOvr"/>
                  </m:naryPr>
                  <m:sub>
                    <m:r>
                      <m:rPr/>
                      <m:t>k</m:t>
                    </m:r>
                    <m:r>
                      <m:rPr>
                        <m:sty m:val="p"/>
                      </m:rPr>
                      <m:t>=</m:t>
                    </m:r>
                    <m:r>
                      <m:rPr/>
                      <m:t>1</m:t>
                    </m:r>
                  </m:sub>
                  <m:sup>
                    <m:r>
                      <m:rPr/>
                      <m:t>4</m:t>
                    </m:r>
                  </m:sup>
                  <m:e>
                    <m:sSub>
                      <m:sSubPr/>
                      <m:e>
                        <m:r>
                          <m:rPr/>
                          <m:t>w</m:t>
                        </m:r>
                      </m:e>
                      <m:sub>
                        <m:r>
                          <m:rPr/>
                          <m:t>k</m:t>
                        </m:r>
                      </m:sub>
                    </m:sSub>
                  </m:e>
                </m:nary>
                <m:sSub>
                  <m:sSubPr/>
                  <m:e>
                    <m:r>
                      <m:rPr/>
                      <m:t>s</m:t>
                    </m:r>
                  </m:e>
                  <m:sub>
                    <m:r>
                      <m:rPr/>
                      <m:t>i</m:t>
                    </m:r>
                    <m:r>
                      <m:rPr>
                        <m:sty m:val="p"/>
                      </m:rPr>
                      <m:t>,</m:t>
                    </m:r>
                    <m:r>
                      <m:rPr/>
                      <m:t>k</m:t>
                    </m:r>
                  </m:sub>
                </m:sSub>
              </m:e>
              <m:lim>
                <m:r>
                  <m:rPr>
                    <m:sty m:val="p"/>
                  </m:rPr>
                  <w:rPr>
                    <w:rFonts w:hint="default" w:ascii="Cambria Math" w:hAnsi="Cambria Math"/>
                    <w:lang w:val="en-US" w:eastAsia="zh-CN"/>
                  </w:rPr>
                  <m:t xml:space="preserve"> </m:t>
                </m:r>
              </m:lim>
            </m:limLow>
          </m:e>
          <m:lim>
            <m:r>
              <m:rPr>
                <m:sty m:val="p"/>
              </m:rPr>
              <w:rPr>
                <w:rFonts w:hint="default" w:ascii="Cambria Math" w:hAnsi="Cambria Math"/>
                <w:lang w:val="en-US" w:eastAsia="zh-CN"/>
              </w:rPr>
              <m:t xml:space="preserve"> </m:t>
            </m:r>
          </m:lim>
        </m:limLow>
        <m:r>
          <m:rPr>
            <m:sty m:val="p"/>
          </m:rPr>
          <m:t>+</m:t>
        </m:r>
        <m:limLow>
          <m:limLowPr/>
          <m:e>
            <m:limLow>
              <m:limLowPr/>
              <m:e>
                <m:r>
                  <m:rPr/>
                  <m:t>MLP</m:t>
                </m:r>
                <m:d>
                  <m:dPr>
                    <m:sepChr m:val=""/>
                  </m:dPr>
                  <m:e>
                    <m:sSub>
                      <m:sSubPr/>
                      <m:e>
                        <m:r>
                          <m:rPr/>
                          <m:t>s</m:t>
                        </m:r>
                      </m:e>
                      <m:sub>
                        <m:r>
                          <m:rPr/>
                          <m:t>i</m:t>
                        </m:r>
                      </m:sub>
                    </m:sSub>
                  </m:e>
                </m:d>
              </m:e>
              <m:lim>
                <m:r>
                  <m:rPr>
                    <m:sty m:val="p"/>
                  </m:rPr>
                  <w:rPr>
                    <w:rFonts w:hint="default" w:ascii="Cambria Math" w:hAnsi="Cambria Math"/>
                    <w:lang w:val="en-US" w:eastAsia="zh-CN"/>
                  </w:rPr>
                  <m:t xml:space="preserve"> </m:t>
                </m:r>
              </m:lim>
            </m:limLow>
          </m:e>
          <m:lim>
            <m:r>
              <m:rPr>
                <m:nor/>
                <m:sty m:val="p"/>
              </m:rPr>
              <w:rPr>
                <w:rFonts w:hint="default" w:ascii="Cambria Math" w:hAnsi="Cambria Math"/>
                <w:b w:val="0"/>
                <w:i w:val="0"/>
                <w:lang w:val="en-US" w:eastAsia="zh-CN"/>
              </w:rPr>
              <m:t xml:space="preserve"> </m:t>
            </m:r>
            <m:r>
              <m:rPr>
                <m:nor/>
                <m:sty m:val="p"/>
              </m:rPr>
              <w:rPr>
                <w:b w:val="0"/>
                <w:i w:val="0"/>
              </w:rPr>
              <m:t> </m:t>
            </m:r>
          </m:lim>
        </m:limLow>
        <m:r>
          <m:rPr>
            <m:sty m:val="p"/>
          </m:rPr>
          <m:t>+</m:t>
        </m:r>
        <m:r>
          <m:rPr/>
          <m:t>0.5</m:t>
        </m:r>
        <m:r>
          <m:rPr>
            <m:sty m:val="p"/>
          </m:rPr>
          <m:t>⋅</m:t>
        </m:r>
        <m:r>
          <m:rPr/>
          <m:t>σ</m:t>
        </m:r>
        <m:sSub>
          <m:sSubPr/>
          <m:e>
            <m:d>
              <m:dPr>
                <m:sepChr m:val=""/>
              </m:dPr>
              <m:e>
                <m:sSub>
                  <m:sSubPr/>
                  <m:e>
                    <m:r>
                      <m:rPr/>
                      <m:t>W</m:t>
                    </m:r>
                  </m:e>
                  <m:sub>
                    <m:r>
                      <m:rPr/>
                      <m:t>s</m:t>
                    </m:r>
                  </m:sub>
                </m:sSub>
                <m:r>
                  <m:rPr>
                    <m:sty m:val="p"/>
                  </m:rPr>
                  <m:t>∗</m:t>
                </m:r>
                <m:r>
                  <m:rPr/>
                  <m:t>Reshape</m:t>
                </m:r>
                <m:r>
                  <m:rPr>
                    <m:sty m:val="p"/>
                  </m:rPr>
                  <m:t>(⋅)</m:t>
                </m:r>
              </m:e>
            </m:d>
          </m:e>
          <m:sub>
            <m:r>
              <m:rPr>
                <m:sty m:val="p"/>
              </m:rPr>
              <m:t>[</m:t>
            </m:r>
            <m:r>
              <m:rPr/>
              <m:t>i</m:t>
            </m:r>
            <m:r>
              <m:rPr>
                <m:sty m:val="p"/>
              </m:rPr>
              <m:t>]</m:t>
            </m:r>
          </m:sub>
        </m:sSub>
      </m:oMath>
      <w:r>
        <w:rPr>
          <w:rFonts w:ascii="Times New Roman" w:hAnsi="Times New Roman"/>
          <w:sz w:val="20"/>
        </w:rPr>
        <w:t xml:space="preserve"> (2)</w:t>
      </w:r>
    </w:p>
    <w:p w14:paraId="0DD44FE1">
      <w:pPr>
        <w:spacing w:after="60" w:line="276" w:lineRule="auto"/>
        <w:ind w:firstLine="420"/>
      </w:pPr>
      <w:r>
        <w:rPr>
          <w:rFonts w:ascii="Times New Roman" w:hAnsi="Times New Roman" w:eastAsia="宋体"/>
          <w:b w:val="0"/>
          <w:i w:val="0"/>
          <w:sz w:val="21"/>
        </w:rPr>
        <w:t>其中 w=softmax(θ_w) 表示可学习的线索权重，最后一项表示 3×3 卷积空间平滑，初始化为均匀的 1/9，用于保证前景性图的空间一致性。</w:t>
      </w:r>
    </w:p>
    <w:p w14:paraId="36457565">
      <w:pPr>
        <w:spacing w:after="60" w:line="276" w:lineRule="auto"/>
        <w:ind w:firstLine="420"/>
      </w:pPr>
      <w:r>
        <w:rPr>
          <w:rFonts w:ascii="Times New Roman" w:hAnsi="Times New Roman" w:eastAsia="宋体"/>
          <w:b w:val="0"/>
          <w:i w:val="0"/>
          <w:sz w:val="21"/>
        </w:rPr>
        <w:t>自适应掩码。不同于选择固定 Top-K 比例的图像块，本文从全局特征 c_cls 中预测图像特定阈值 τ，并施加带温度控制的 sigmoid 函数：</w:t>
      </w:r>
    </w:p>
    <w:p w14:paraId="49306B19">
      <w:pPr>
        <w:pStyle w:val="19"/>
      </w:pPr>
      <m:oMath>
        <m:r>
          <m:rPr/>
          <m:t>τ</m:t>
        </m:r>
        <m:r>
          <m:rPr>
            <m:sty m:val="p"/>
          </m:rPr>
          <m:t>=</m:t>
        </m:r>
        <m:sSub>
          <m:sSubPr/>
          <m:e>
            <m:r>
              <m:rPr/>
              <m:t>MLP</m:t>
            </m:r>
          </m:e>
          <m:sub>
            <m:r>
              <m:rPr/>
              <m:t>τ</m:t>
            </m:r>
          </m:sub>
        </m:sSub>
        <m:d>
          <m:dPr>
            <m:sepChr m:val=""/>
          </m:dPr>
          <m:e>
            <m:sSub>
              <m:sSubPr/>
              <m:e>
                <m:r>
                  <m:rPr/>
                  <m:t>c</m:t>
                </m:r>
              </m:e>
              <m:sub>
                <m:r>
                  <m:rPr/>
                  <m:t>cls</m:t>
                </m:r>
              </m:sub>
            </m:sSub>
          </m:e>
        </m:d>
        <m:r>
          <m:rPr>
            <m:sty m:val="p"/>
          </m:rPr>
          <m:t>,</m:t>
        </m:r>
        <m:r>
          <m:rPr/>
          <m:t> </m:t>
        </m:r>
        <m:sSubSup>
          <m:sSubSupPr/>
          <m:e>
            <m:r>
              <m:rPr/>
              <m:t>m</m:t>
            </m:r>
          </m:e>
          <m:sub>
            <m:r>
              <m:rPr/>
              <m:t>i</m:t>
            </m:r>
          </m:sub>
          <m:sup>
            <m:r>
              <m:rPr/>
              <m:t>F</m:t>
            </m:r>
          </m:sup>
        </m:sSubSup>
        <m:r>
          <m:rPr>
            <m:sty m:val="p"/>
          </m:rPr>
          <m:t>=</m:t>
        </m:r>
        <m:r>
          <m:rPr/>
          <m:t>σ</m:t>
        </m:r>
        <m:d>
          <m:dPr>
            <m:sepChr m:val=""/>
          </m:dPr>
          <m:e>
            <m:f>
              <m:fPr/>
              <m:num>
                <m:sSub>
                  <m:sSubPr/>
                  <m:e>
                    <m:r>
                      <m:rPr/>
                      <m:t>F</m:t>
                    </m:r>
                  </m:e>
                  <m:sub>
                    <m:r>
                      <m:rPr/>
                      <m:t>i</m:t>
                    </m:r>
                  </m:sub>
                </m:sSub>
                <m:r>
                  <m:rPr>
                    <m:sty m:val="p"/>
                  </m:rPr>
                  <m:t>−</m:t>
                </m:r>
                <m:r>
                  <m:rPr/>
                  <m:t>τ</m:t>
                </m:r>
              </m:num>
              <m:den>
                <m:r>
                  <m:rPr/>
                  <m:t>T</m:t>
                </m:r>
              </m:den>
            </m:f>
          </m:e>
        </m:d>
      </m:oMath>
      <w:r>
        <w:rPr>
          <w:rFonts w:ascii="Times New Roman" w:hAnsi="Times New Roman"/>
          <w:sz w:val="20"/>
        </w:rPr>
        <w:t xml:space="preserve"> (3)</w:t>
      </w:r>
    </w:p>
    <w:p w14:paraId="18CBFE36">
      <w:pPr>
        <w:spacing w:after="60" w:line="276" w:lineRule="auto"/>
        <w:ind w:firstLine="420"/>
      </w:pPr>
      <w:r>
        <w:rPr>
          <w:rFonts w:ascii="Times New Roman" w:hAnsi="Times New Roman" w:eastAsia="宋体"/>
          <w:b w:val="0"/>
          <w:i w:val="0"/>
          <w:sz w:val="21"/>
        </w:rPr>
        <w:t xml:space="preserve">其中 </w:t>
      </w:r>
      <m:oMath>
        <m:r>
          <m:rPr/>
          <m:t>τ</m:t>
        </m:r>
      </m:oMath>
      <w:r>
        <w:rPr>
          <w:rFonts w:ascii="Times New Roman" w:hAnsi="Times New Roman" w:eastAsia="宋体"/>
          <w:b w:val="0"/>
          <w:i w:val="0"/>
          <w:sz w:val="21"/>
        </w:rPr>
        <w:t xml:space="preserve"> 为可学习温度，采用 log 空间初始化为 0.1，并限制在 [0.01, 1.0] 范围内。该软掩码能够自然适应不同前景比例的图像，同时避免硬阈值带来的梯度不连续。预算正则化损失用于防止模型退化为全前景或全背景解。</w:t>
      </w:r>
    </w:p>
    <w:p w14:paraId="1DC5D611">
      <w:pPr>
        <w:spacing w:before="160" w:after="80"/>
      </w:pPr>
      <w:r>
        <w:rPr>
          <w:rFonts w:ascii="Times New Roman" w:hAnsi="Times New Roman" w:eastAsia="宋体"/>
          <w:b/>
          <w:i w:val="0"/>
          <w:sz w:val="24"/>
        </w:rPr>
        <w:t>C. 具有深度注意力的双 CLS 解耦</w:t>
      </w:r>
    </w:p>
    <w:p w14:paraId="35002518">
      <w:pPr>
        <w:spacing w:after="60" w:line="276" w:lineRule="auto"/>
        <w:ind w:firstLine="420"/>
      </w:pPr>
      <w:r>
        <w:rPr>
          <w:rFonts w:ascii="Times New Roman" w:hAnsi="Times New Roman" w:eastAsia="宋体"/>
          <w:b w:val="0"/>
          <w:i w:val="0"/>
          <w:sz w:val="21"/>
        </w:rPr>
        <w:t>动机。一个自然问题是，为什么本文不直接抑制背景，而要保留独立背景流。原因在于背景信息具有互补价值：场景类型、空间布局和共现统计能够辅助分类，并在某些情况下支持定位。但在默认聚合中，这些背景上下文会通过惰性聚合污染 [CLS] 标记，进而削弱前景定位。因此，合理的做法不是丢弃背景，而是将其解耦：保留两条相互独立的语义流，使前景和背景分别形成任务相关表示，再根据任务需求自适应融合。</w:t>
      </w:r>
    </w:p>
    <w:p w14:paraId="4D91B147">
      <w:pPr>
        <w:spacing w:after="60" w:line="276" w:lineRule="auto"/>
        <w:ind w:firstLine="420"/>
      </w:pPr>
      <w:r>
        <w:rPr>
          <w:rFonts w:ascii="Times New Roman" w:hAnsi="Times New Roman" w:eastAsia="宋体"/>
          <w:b w:val="0"/>
          <w:i w:val="0"/>
          <w:sz w:val="21"/>
        </w:rPr>
        <w:t>此外，如第二节所述，深度维度还存在互补挑战。标准残差连接均匀累积所有层，而不同层编码的信息并不相同：早期层更多捕捉纹理和边缘，后期层更多编码目标语义。AttnRes 证明了内容相关深度选择能够改善聚合，但它对所有标记使用单一机制。在本文的解耦设定中，前景和背景流需要不同的深度聚合模式：前景目标更应强调后期语义层，而背景上下文更依赖早期空间层。因此，本文为两条流设计独立的深度注意力。</w:t>
      </w:r>
    </w:p>
    <w:p w14:paraId="46D5B03D">
      <w:pPr>
        <w:spacing w:after="60" w:line="276" w:lineRule="auto"/>
        <w:ind w:firstLine="420"/>
      </w:pPr>
      <w:r>
        <w:rPr>
          <w:rFonts w:ascii="Times New Roman" w:hAnsi="Times New Roman" w:eastAsia="宋体"/>
          <w:b w:val="0"/>
          <w:i w:val="0"/>
          <w:sz w:val="21"/>
        </w:rPr>
        <w:t>双 CLS 聚合。给定前景掩码后，本文在每个提取层中通过加权平均计算前景 CLS 标记：</w:t>
      </w:r>
    </w:p>
    <w:p w14:paraId="531BAFF5">
      <w:pPr>
        <w:spacing w:after="60" w:line="276" w:lineRule="auto"/>
        <w:ind w:firstLine="420"/>
        <w:rPr>
          <w:rFonts w:ascii="Times New Roman" w:hAnsi="Times New Roman"/>
          <w:sz w:val="20"/>
        </w:rPr>
      </w:pPr>
      <m:oMath>
        <m:sSubSup>
          <m:sSubSupPr/>
          <m:e>
            <m:r>
              <m:rPr/>
              <m:t>B</m:t>
            </m:r>
          </m:e>
          <m:sub>
            <m:r>
              <m:rPr/>
              <m:t>l</m:t>
            </m:r>
          </m:sub>
          <m:sup>
            <m:r>
              <m:rPr/>
              <m:t>F</m:t>
            </m:r>
          </m:sup>
        </m:sSubSup>
        <m:r>
          <m:rPr>
            <m:sty m:val="p"/>
          </m:rPr>
          <m:t>=</m:t>
        </m:r>
        <m:f>
          <m:fPr/>
          <m:num>
            <m:nary>
              <m:naryPr>
                <m:chr m:val="∑"/>
                <m:limLoc m:val="undOvr"/>
              </m:naryPr>
              <m:sub>
                <m:r>
                  <m:rPr/>
                  <m:t>i</m:t>
                </m:r>
                <m:r>
                  <m:rPr>
                    <m:sty m:val="p"/>
                  </m:rPr>
                  <m:t>=</m:t>
                </m:r>
                <m:r>
                  <m:rPr/>
                  <m:t>1</m:t>
                </m:r>
              </m:sub>
              <m:sup>
                <m:r>
                  <m:rPr/>
                  <m:t>N</m:t>
                </m:r>
              </m:sup>
              <m:e>
                <m:sSubSup>
                  <m:sSubSupPr/>
                  <m:e>
                    <m:r>
                      <m:rPr/>
                      <m:t>m</m:t>
                    </m:r>
                  </m:e>
                  <m:sub>
                    <m:r>
                      <m:rPr/>
                      <m:t>i</m:t>
                    </m:r>
                  </m:sub>
                  <m:sup>
                    <m:r>
                      <m:rPr/>
                      <m:t>F</m:t>
                    </m:r>
                  </m:sup>
                </m:sSubSup>
              </m:e>
            </m:nary>
            <m:sSubSup>
              <m:sSubSupPr/>
              <m:e>
                <m:r>
                  <m:rPr/>
                  <m:t>P</m:t>
                </m:r>
              </m:e>
              <m:sub>
                <m:r>
                  <m:rPr/>
                  <m:t>i</m:t>
                </m:r>
              </m:sub>
              <m:sup>
                <m:r>
                  <m:rPr/>
                  <m:t>l</m:t>
                </m:r>
              </m:sup>
            </m:sSubSup>
          </m:num>
          <m:den>
            <m:nary>
              <m:naryPr>
                <m:chr m:val="∑"/>
                <m:limLoc m:val="undOvr"/>
              </m:naryPr>
              <m:sub>
                <m:r>
                  <m:rPr/>
                  <m:t>i</m:t>
                </m:r>
                <m:r>
                  <m:rPr>
                    <m:sty m:val="p"/>
                  </m:rPr>
                  <m:t>=</m:t>
                </m:r>
                <m:r>
                  <m:rPr/>
                  <m:t>1</m:t>
                </m:r>
              </m:sub>
              <m:sup>
                <m:r>
                  <m:rPr/>
                  <m:t>N</m:t>
                </m:r>
              </m:sup>
              <m:e>
                <m:sSubSup>
                  <m:sSubSupPr/>
                  <m:e>
                    <m:r>
                      <m:rPr/>
                      <m:t>m</m:t>
                    </m:r>
                  </m:e>
                  <m:sub>
                    <m:r>
                      <m:rPr/>
                      <m:t>i</m:t>
                    </m:r>
                  </m:sub>
                  <m:sup>
                    <m:r>
                      <m:rPr/>
                      <m:t>F</m:t>
                    </m:r>
                  </m:sup>
                </m:sSubSup>
              </m:e>
            </m:nary>
            <m:r>
              <m:rPr>
                <m:sty m:val="p"/>
              </m:rPr>
              <m:t>+</m:t>
            </m:r>
            <m:r>
              <m:rPr/>
              <m:t>ϵ</m:t>
            </m:r>
          </m:den>
        </m:f>
      </m:oMath>
      <w:r>
        <w:rPr>
          <w:rFonts w:ascii="Times New Roman" w:hAnsi="Times New Roman"/>
          <w:sz w:val="20"/>
        </w:rPr>
        <w:t xml:space="preserve"> (4)</w:t>
      </w:r>
    </w:p>
    <w:p w14:paraId="4BA367AD">
      <w:pPr>
        <w:spacing w:after="60" w:line="276" w:lineRule="auto"/>
        <w:ind w:firstLine="420"/>
      </w:pPr>
      <w:r>
        <w:rPr>
          <w:rFonts w:ascii="Times New Roman" w:hAnsi="Times New Roman" w:eastAsia="宋体"/>
          <w:b w:val="0"/>
          <w:i w:val="0"/>
          <w:sz w:val="21"/>
        </w:rPr>
        <w:t>为了避免前景和背景线索冲突的模糊边界图像块被自信地分配到任一流中，本文对每个图像块的预测不确定性进行建模。一个小型 MLP 以图像块特征为输入，输出不确定性得分 u_i∈[0,1]。背景得分会受到该不确定性调制，使高不确定性图像块降低背景置信度，从而使背景流更关注明确的非目标区域，而非模糊边界区域。</w:t>
      </w:r>
    </w:p>
    <w:p w14:paraId="2B690227">
      <w:pPr>
        <w:spacing w:after="60" w:line="276" w:lineRule="auto"/>
        <w:ind w:firstLine="420"/>
      </w:pPr>
      <w:r>
        <w:rPr>
          <w:rFonts w:ascii="Times New Roman" w:hAnsi="Times New Roman" w:eastAsia="宋体"/>
          <w:b w:val="0"/>
          <w:i w:val="0"/>
          <w:sz w:val="21"/>
        </w:rPr>
        <w:t>对于背景流，本文并不简单将其定义为前景流的直接互补，因为这会使背景表示在机制上依赖前景表示。本文引入专门的 BackgroundnessHead 以独立预测背景得分，并通过不确定性估计器进行调制：</w:t>
      </w:r>
    </w:p>
    <w:p w14:paraId="31278D0A">
      <w:pPr>
        <w:spacing w:after="60" w:line="276" w:lineRule="auto"/>
        <w:ind w:firstLine="420"/>
        <w:rPr>
          <w:rFonts w:ascii="Times New Roman" w:hAnsi="Times New Roman"/>
          <w:sz w:val="20"/>
        </w:rPr>
      </w:pPr>
      <m:oMath>
        <m:sSubSup>
          <m:sSubSupPr/>
          <m:e>
            <m:r>
              <m:rPr/>
              <m:t>m</m:t>
            </m:r>
          </m:e>
          <m:sub>
            <m:r>
              <m:rPr/>
              <m:t>i</m:t>
            </m:r>
          </m:sub>
          <m:sup>
            <m:r>
              <m:rPr/>
              <m:t>B</m:t>
            </m:r>
          </m:sup>
        </m:sSubSup>
        <m:r>
          <m:rPr>
            <m:sty m:val="p"/>
          </m:rPr>
          <m:t>=</m:t>
        </m:r>
        <m:r>
          <m:rPr/>
          <m:t>σ</m:t>
        </m:r>
        <m:d>
          <m:dPr>
            <m:sepChr m:val=""/>
          </m:dPr>
          <m:e>
            <m:sSub>
              <m:sSubPr/>
              <m:e>
                <m:r>
                  <m:rPr/>
                  <m:t>MLP</m:t>
                </m:r>
              </m:e>
              <m:sub>
                <m:r>
                  <m:rPr/>
                  <m:t>B</m:t>
                </m:r>
              </m:sub>
            </m:sSub>
            <m:d>
              <m:dPr>
                <m:sepChr m:val=""/>
              </m:dPr>
              <m:e>
                <m:sSubSup>
                  <m:sSubSupPr/>
                  <m:e>
                    <m:r>
                      <m:rPr/>
                      <m:t>P</m:t>
                    </m:r>
                  </m:e>
                  <m:sub>
                    <m:r>
                      <m:rPr/>
                      <m:t>i</m:t>
                    </m:r>
                  </m:sub>
                  <m:sup>
                    <m:sSub>
                      <m:sSubPr/>
                      <m:e>
                        <m:r>
                          <m:rPr/>
                          <m:t>l</m:t>
                        </m:r>
                      </m:e>
                      <m:sub>
                        <m:r>
                          <m:rPr/>
                          <m:t>K</m:t>
                        </m:r>
                      </m:sub>
                    </m:sSub>
                  </m:sup>
                </m:sSubSup>
              </m:e>
            </m:d>
          </m:e>
        </m:d>
        <m:r>
          <m:rPr>
            <m:sty m:val="p"/>
          </m:rPr>
          <m:t>⋅</m:t>
        </m:r>
        <m:d>
          <m:dPr>
            <m:sepChr m:val=""/>
          </m:dPr>
          <m:e>
            <m:r>
              <m:rPr/>
              <m:t>1</m:t>
            </m:r>
            <m:r>
              <m:rPr>
                <m:sty m:val="p"/>
              </m:rPr>
              <m:t>−</m:t>
            </m:r>
            <m:sSubSup>
              <m:sSubSupPr/>
              <m:e>
                <m:r>
                  <m:rPr/>
                  <m:t>m</m:t>
                </m:r>
              </m:e>
              <m:sub>
                <m:r>
                  <m:rPr/>
                  <m:t>i</m:t>
                </m:r>
              </m:sub>
              <m:sup>
                <m:r>
                  <m:rPr/>
                  <m:t>F</m:t>
                </m:r>
              </m:sup>
            </m:sSubSup>
          </m:e>
        </m:d>
        <m:r>
          <m:rPr>
            <m:sty m:val="p"/>
          </m:rPr>
          <m:t>⋅</m:t>
        </m:r>
        <m:r>
          <m:rPr/>
          <m:t>σ</m:t>
        </m:r>
        <m:d>
          <m:dPr>
            <m:sepChr m:val=""/>
          </m:dPr>
          <m:e>
            <m:sSub>
              <m:sSubPr/>
              <m:e>
                <m:r>
                  <m:rPr/>
                  <m:t>MLP</m:t>
                </m:r>
              </m:e>
              <m:sub>
                <m:r>
                  <m:rPr/>
                  <m:t>U</m:t>
                </m:r>
              </m:sub>
            </m:sSub>
            <m:d>
              <m:dPr>
                <m:sepChr m:val=""/>
              </m:dPr>
              <m:e>
                <m:sSubSup>
                  <m:sSubSupPr/>
                  <m:e>
                    <m:r>
                      <m:rPr/>
                      <m:t>P</m:t>
                    </m:r>
                  </m:e>
                  <m:sub>
                    <m:r>
                      <m:rPr/>
                      <m:t>i</m:t>
                    </m:r>
                  </m:sub>
                  <m:sup>
                    <m:sSub>
                      <m:sSubPr/>
                      <m:e>
                        <m:r>
                          <m:rPr/>
                          <m:t>l</m:t>
                        </m:r>
                      </m:e>
                      <m:sub>
                        <m:r>
                          <m:rPr/>
                          <m:t>K</m:t>
                        </m:r>
                      </m:sub>
                    </m:sSub>
                  </m:sup>
                </m:sSubSup>
              </m:e>
            </m:d>
          </m:e>
        </m:d>
      </m:oMath>
      <w:r>
        <w:rPr>
          <w:rFonts w:ascii="Times New Roman" w:hAnsi="Times New Roman"/>
          <w:sz w:val="20"/>
        </w:rPr>
        <w:t xml:space="preserve"> (5)</w:t>
      </w:r>
    </w:p>
    <w:p w14:paraId="3E81C4ED">
      <w:pPr>
        <w:spacing w:after="60" w:line="276" w:lineRule="auto"/>
        <w:ind w:firstLine="420"/>
      </w:pPr>
      <w:r>
        <w:rPr>
          <w:rFonts w:ascii="Times New Roman" w:hAnsi="Times New Roman" w:eastAsia="宋体"/>
          <w:b w:val="0"/>
          <w:i w:val="0"/>
          <w:sz w:val="21"/>
        </w:rPr>
        <w:t>其中前景互补项用于排除高置信前景图像块，不确定性项则防止模糊边界图像块被过度自信地分配到背景。背景 CLS 标记以与式 (4) 类似的方式计算。</w:t>
      </w:r>
    </w:p>
    <w:p w14:paraId="4DD021A0">
      <w:pPr>
        <w:spacing w:after="60" w:line="276" w:lineRule="auto"/>
        <w:ind w:firstLine="420"/>
      </w:pPr>
      <w:r>
        <w:rPr>
          <w:rFonts w:ascii="Times New Roman" w:hAnsi="Times New Roman" w:eastAsia="宋体"/>
          <w:b w:val="0"/>
          <w:i w:val="0"/>
          <w:sz w:val="21"/>
        </w:rPr>
        <w:t>独立深度注意力。每条流都使用学习到的伪查询，对其 K 层 CLS 序列执行 softmax 注意力，从而将 AttnRes 的思想扩展到视觉领域：</w:t>
      </w:r>
    </w:p>
    <w:p w14:paraId="3E63C84E">
      <w:pPr>
        <w:spacing w:after="60" w:line="276" w:lineRule="auto"/>
        <w:ind w:firstLine="420"/>
        <w:rPr>
          <w:rFonts w:ascii="Times New Roman" w:hAnsi="Times New Roman"/>
          <w:sz w:val="20"/>
        </w:rPr>
      </w:pPr>
      <m:oMath>
        <m:sSubSup>
          <m:sSubSupPr/>
          <m:e>
            <m:r>
              <m:rPr/>
              <m:t>β</m:t>
            </m:r>
          </m:e>
          <m:sub>
            <m:r>
              <m:rPr/>
              <m:t>l</m:t>
            </m:r>
          </m:sub>
          <m:sup>
            <m:r>
              <m:rPr/>
              <m:t>F</m:t>
            </m:r>
          </m:sup>
        </m:sSubSup>
        <m:r>
          <m:rPr>
            <m:sty m:val="p"/>
          </m:rPr>
          <m:t>=</m:t>
        </m:r>
        <m:f>
          <m:fPr/>
          <m:num>
            <m:r>
              <m:rPr>
                <m:sty m:val="p"/>
              </m:rPr>
              <m:t>exp</m:t>
            </m:r>
            <m:d>
              <m:dPr>
                <m:sepChr m:val=""/>
              </m:dPr>
              <m:e>
                <m:sSubSup>
                  <m:sSubSupPr/>
                  <m:e>
                    <m:r>
                      <m:rPr/>
                      <m:t>w</m:t>
                    </m:r>
                  </m:e>
                  <m:sub>
                    <m:r>
                      <m:rPr/>
                      <m:t>F</m:t>
                    </m:r>
                  </m:sub>
                  <m:sup>
                    <m:r>
                      <m:rPr>
                        <m:sty m:val="p"/>
                      </m:rPr>
                      <m:t>⊤</m:t>
                    </m:r>
                  </m:sup>
                </m:sSubSup>
                <m:r>
                  <m:rPr/>
                  <m:t>RMSNorm</m:t>
                </m:r>
                <m:d>
                  <m:dPr>
                    <m:sepChr m:val=""/>
                  </m:dPr>
                  <m:e>
                    <m:sSubSup>
                      <m:sSubSupPr/>
                      <m:e>
                        <m:r>
                          <m:rPr/>
                          <m:t>B</m:t>
                        </m:r>
                      </m:e>
                      <m:sub>
                        <m:r>
                          <m:rPr/>
                          <m:t>l</m:t>
                        </m:r>
                      </m:sub>
                      <m:sup>
                        <m:r>
                          <m:rPr/>
                          <m:t>F</m:t>
                        </m:r>
                      </m:sup>
                    </m:sSubSup>
                  </m:e>
                </m:d>
              </m:e>
            </m:d>
          </m:num>
          <m:den>
            <m:nary>
              <m:naryPr>
                <m:chr m:val="∑"/>
                <m:limLoc m:val="undOvr"/>
              </m:naryPr>
              <m:sub>
                <m:r>
                  <m:rPr/>
                  <m:t>j</m:t>
                </m:r>
                <m:r>
                  <m:rPr>
                    <m:sty m:val="p"/>
                  </m:rPr>
                  <m:t>=</m:t>
                </m:r>
                <m:r>
                  <m:rPr/>
                  <m:t>1</m:t>
                </m:r>
              </m:sub>
              <m:sup>
                <m:r>
                  <m:rPr/>
                  <m:t>K</m:t>
                </m:r>
              </m:sup>
              <m:e>
                <m:r>
                  <m:rPr>
                    <m:sty m:val="p"/>
                  </m:rPr>
                  <m:t>exp</m:t>
                </m:r>
              </m:e>
            </m:nary>
            <m:d>
              <m:dPr>
                <m:sepChr m:val=""/>
              </m:dPr>
              <m:e>
                <m:sSubSup>
                  <m:sSubSupPr/>
                  <m:e>
                    <m:r>
                      <m:rPr/>
                      <m:t>w</m:t>
                    </m:r>
                  </m:e>
                  <m:sub>
                    <m:r>
                      <m:rPr/>
                      <m:t>F</m:t>
                    </m:r>
                  </m:sub>
                  <m:sup>
                    <m:r>
                      <m:rPr>
                        <m:sty m:val="p"/>
                      </m:rPr>
                      <m:t>⊤</m:t>
                    </m:r>
                  </m:sup>
                </m:sSubSup>
                <m:r>
                  <m:rPr/>
                  <m:t>RMSNorm</m:t>
                </m:r>
                <m:d>
                  <m:dPr>
                    <m:sepChr m:val=""/>
                  </m:dPr>
                  <m:e>
                    <m:sSubSup>
                      <m:sSubSupPr/>
                      <m:e>
                        <m:r>
                          <m:rPr/>
                          <m:t>B</m:t>
                        </m:r>
                      </m:e>
                      <m:sub>
                        <m:r>
                          <m:rPr/>
                          <m:t>j</m:t>
                        </m:r>
                      </m:sub>
                      <m:sup>
                        <m:r>
                          <m:rPr/>
                          <m:t>F</m:t>
                        </m:r>
                      </m:sup>
                    </m:sSubSup>
                  </m:e>
                </m:d>
              </m:e>
            </m:d>
          </m:den>
        </m:f>
        <m:r>
          <m:rPr>
            <m:sty m:val="p"/>
          </m:rPr>
          <m:t>,</m:t>
        </m:r>
      </m:oMath>
      <w:r>
        <w:rPr>
          <w:rFonts w:ascii="Times New Roman" w:hAnsi="Times New Roman"/>
          <w:sz w:val="20"/>
        </w:rPr>
        <w:t xml:space="preserve"> </w:t>
      </w:r>
      <m:oMath>
        <m:sSub>
          <m:sSubPr/>
          <m:e>
            <m:r>
              <m:rPr/>
              <m:t>C</m:t>
            </m:r>
          </m:e>
          <m:sub>
            <m:r>
              <m:rPr/>
              <m:t>F</m:t>
            </m:r>
          </m:sub>
        </m:sSub>
        <m:r>
          <m:rPr>
            <m:sty m:val="p"/>
          </m:rPr>
          <m:t>=</m:t>
        </m:r>
        <m:nary>
          <m:naryPr>
            <m:chr m:val="∑"/>
            <m:limLoc m:val="undOvr"/>
          </m:naryPr>
          <m:sub>
            <m:r>
              <m:rPr/>
              <m:t>l</m:t>
            </m:r>
            <m:r>
              <m:rPr>
                <m:sty m:val="p"/>
              </m:rPr>
              <m:t>=</m:t>
            </m:r>
            <m:r>
              <m:rPr/>
              <m:t>1</m:t>
            </m:r>
          </m:sub>
          <m:sup>
            <m:r>
              <m:rPr/>
              <m:t>K</m:t>
            </m:r>
          </m:sup>
          <m:e>
            <m:sSubSup>
              <m:sSubSupPr/>
              <m:e>
                <m:r>
                  <m:rPr/>
                  <m:t>β</m:t>
                </m:r>
              </m:e>
              <m:sub>
                <m:r>
                  <m:rPr/>
                  <m:t>l</m:t>
                </m:r>
              </m:sub>
              <m:sup>
                <m:r>
                  <m:rPr/>
                  <m:t>F</m:t>
                </m:r>
              </m:sup>
            </m:sSubSup>
          </m:e>
        </m:nary>
        <m:sSubSup>
          <m:sSubSupPr/>
          <m:e>
            <m:r>
              <m:rPr/>
              <m:t>B</m:t>
            </m:r>
          </m:e>
          <m:sub>
            <m:r>
              <m:rPr/>
              <m:t>l</m:t>
            </m:r>
          </m:sub>
          <m:sup>
            <m:r>
              <m:rPr/>
              <m:t>F</m:t>
            </m:r>
          </m:sup>
        </m:sSubSup>
      </m:oMath>
      <w:r>
        <w:rPr>
          <w:rFonts w:ascii="Times New Roman" w:hAnsi="Times New Roman"/>
          <w:sz w:val="20"/>
        </w:rPr>
        <w:t xml:space="preserve"> (6)</w:t>
      </w:r>
    </w:p>
    <w:p w14:paraId="6CA14D16">
      <w:pPr>
        <w:spacing w:after="60" w:line="276" w:lineRule="auto"/>
        <w:ind w:firstLine="420"/>
      </w:pPr>
      <w:r>
        <w:rPr>
          <w:rFonts w:ascii="Times New Roman" w:hAnsi="Times New Roman" w:eastAsia="宋体"/>
          <w:b w:val="0"/>
          <w:i w:val="0"/>
          <w:sz w:val="21"/>
        </w:rPr>
        <w:t>其中前景伪查询初始化为零，因此初始时产生均匀的 1/K 权重，与标准平均池化一致。背景流使用自身的伪查询，以生成背景表示和背景深度权重。RMSNorm 作用于键向量，可防止激活幅值较大的层主导注意力。实验验证表明，共享一套深度注意力会使 PiB 从 45% 降至 28%，说明两条流确实需要不同的深度聚合模式。</w:t>
      </w:r>
    </w:p>
    <w:p w14:paraId="0AB96FFB">
      <w:pPr>
        <w:spacing w:before="160" w:after="80"/>
      </w:pPr>
      <w:r>
        <w:rPr>
          <w:rFonts w:ascii="Times New Roman" w:hAnsi="Times New Roman" w:eastAsia="宋体"/>
          <w:b/>
          <w:i w:val="0"/>
          <w:sz w:val="24"/>
        </w:rPr>
        <w:t>D. 任务自适应融合</w:t>
      </w:r>
    </w:p>
    <w:p w14:paraId="10101093">
      <w:pPr>
        <w:spacing w:after="60" w:line="276" w:lineRule="auto"/>
        <w:ind w:firstLine="420"/>
      </w:pPr>
      <w:r>
        <w:rPr>
          <w:rFonts w:ascii="Times New Roman" w:hAnsi="Times New Roman" w:eastAsia="宋体"/>
          <w:b w:val="0"/>
          <w:i w:val="0"/>
          <w:sz w:val="21"/>
        </w:rPr>
        <w:t>最终表示 C 由一个学习到的门控函数产生，该门控函数自适应地加权前景表示和背景表示：</w:t>
      </w:r>
    </w:p>
    <w:p w14:paraId="4570A355">
      <w:pPr>
        <w:pStyle w:val="19"/>
      </w:pP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r>
          <m:rPr>
            <m:sty m:val="p"/>
          </m:rPr>
          <m:t>,</m:t>
        </m:r>
        <m:r>
          <m:rPr/>
          <m:t> C</m:t>
        </m:r>
        <m:r>
          <m:rPr>
            <m:sty m:val="p"/>
          </m:rPr>
          <m:t>=</m:t>
        </m:r>
        <m:r>
          <m:rPr/>
          <m:t>g</m:t>
        </m:r>
        <m:r>
          <m:rPr>
            <m:sty m:val="p"/>
          </m:rPr>
          <m:t>⋅</m:t>
        </m:r>
        <m:sSub>
          <m:sSubPr/>
          <m:e>
            <m:r>
              <m:rPr/>
              <m:t>C</m:t>
            </m:r>
          </m:e>
          <m:sub>
            <m:r>
              <m:rPr/>
              <m:t>F</m:t>
            </m:r>
          </m:sub>
        </m:sSub>
        <m:r>
          <m:rPr>
            <m:sty m:val="p"/>
          </m:rPr>
          <m:t>+</m:t>
        </m:r>
        <m:d>
          <m:dPr>
            <m:sepChr m:val=""/>
          </m:dPr>
          <m:e>
            <m:r>
              <m:rPr/>
              <m:t>1</m:t>
            </m:r>
            <m:r>
              <m:rPr>
                <m:sty m:val="p"/>
              </m:rPr>
              <m:t>−</m:t>
            </m:r>
            <m:r>
              <m:rPr/>
              <m:t>g</m:t>
            </m:r>
          </m:e>
        </m:d>
        <m:r>
          <m:rPr>
            <m:sty m:val="p"/>
          </m:rPr>
          <m:t>⋅</m:t>
        </m:r>
        <m:sSub>
          <m:sSubPr/>
          <m:e>
            <m:r>
              <m:rPr/>
              <m:t>C</m:t>
            </m:r>
          </m:e>
          <m:sub>
            <m:r>
              <m:rPr/>
              <m:t>B</m:t>
            </m:r>
          </m:sub>
        </m:sSub>
      </m:oMath>
      <w:r>
        <w:rPr>
          <w:rFonts w:ascii="Times New Roman" w:hAnsi="Times New Roman"/>
          <w:sz w:val="20"/>
        </w:rPr>
        <w:t xml:space="preserve"> (7)</w:t>
      </w:r>
    </w:p>
    <w:p w14:paraId="57D021DF">
      <w:pPr>
        <w:spacing w:after="60" w:line="276" w:lineRule="auto"/>
        <w:ind w:firstLine="420"/>
      </w:pPr>
      <w:r>
        <w:rPr>
          <w:rFonts w:ascii="Times New Roman" w:hAnsi="Times New Roman" w:eastAsia="宋体"/>
          <w:b w:val="0"/>
          <w:i w:val="0"/>
          <w:sz w:val="21"/>
        </w:rPr>
        <w:t xml:space="preserve">其中门控函数 </w:t>
      </w: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oMath>
      <w:r>
        <w:rPr>
          <w:rFonts w:ascii="Times New Roman" w:hAnsi="Times New Roman" w:eastAsia="宋体"/>
          <w:b w:val="0"/>
          <w:i w:val="0"/>
          <w:sz w:val="21"/>
        </w:rPr>
        <w:t>由一个隐藏维度为 128、输出为 sigmoid 的两层 MLP 实现，输入为三种表示的拼接。该门控机制能够在无需手工调参的情况下学习任务特定权重：对于以前景为核心的目标发现任务，模型自然会学习到 g≈1；对于场景上下文有助于识别的分类任务，模型可能学习到更平衡的 g≈0.5。与固定权重平均或简单拼接相比，输入条件门控允许每张图像确定自身最优的前景—背景平衡，例如道路上的汽车可能受益于道路上下文，而天空中的鸟则应抑制无关天空背景。</w:t>
      </w:r>
    </w:p>
    <w:p w14:paraId="4170B081">
      <w:pPr>
        <w:spacing w:before="160" w:after="80"/>
      </w:pPr>
      <w:r>
        <w:rPr>
          <w:rFonts w:ascii="Times New Roman" w:hAnsi="Times New Roman" w:eastAsia="宋体"/>
          <w:b/>
          <w:i w:val="0"/>
          <w:sz w:val="28"/>
        </w:rPr>
        <w:t>IV. 实验</w:t>
      </w:r>
    </w:p>
    <w:p w14:paraId="6AA2B63C">
      <w:pPr>
        <w:spacing w:before="160" w:after="80"/>
      </w:pPr>
      <w:r>
        <w:rPr>
          <w:rFonts w:ascii="Times New Roman" w:hAnsi="Times New Roman" w:eastAsia="宋体"/>
          <w:b/>
          <w:i w:val="0"/>
          <w:sz w:val="24"/>
        </w:rPr>
        <w:t>A. 实验设置</w:t>
      </w:r>
    </w:p>
    <w:p w14:paraId="1AB0110B">
      <w:pPr>
        <w:spacing w:after="60" w:line="276" w:lineRule="auto"/>
        <w:ind w:firstLine="420"/>
      </w:pPr>
      <w:r>
        <w:rPr>
          <w:rFonts w:ascii="Times New Roman" w:hAnsi="Times New Roman" w:eastAsia="宋体"/>
          <w:b w:val="0"/>
          <w:i w:val="0"/>
          <w:sz w:val="21"/>
        </w:rPr>
        <w:t>本文在两个标准基准数据集上评估 DAFB-CLS，任务包括无监督目标发现和开放词汇分割。系统性的消融实验和压力测试用于验证各项设计选择，并刻画模型失败模式。</w:t>
      </w:r>
    </w:p>
    <w:p w14:paraId="132A7518">
      <w:pPr>
        <w:spacing w:before="160" w:after="80"/>
      </w:pPr>
      <w:r>
        <w:rPr>
          <w:rFonts w:ascii="Times New Roman" w:hAnsi="Times New Roman" w:eastAsia="宋体"/>
          <w:b/>
          <w:i w:val="0"/>
          <w:sz w:val="24"/>
        </w:rPr>
        <w:t>数据集</w:t>
      </w:r>
    </w:p>
    <w:p w14:paraId="13513192">
      <w:pPr>
        <w:spacing w:after="60" w:line="276" w:lineRule="auto"/>
        <w:ind w:firstLine="420"/>
      </w:pPr>
      <w:r>
        <w:rPr>
          <w:rFonts w:ascii="Times New Roman" w:hAnsi="Times New Roman" w:eastAsia="宋体"/>
          <w:b w:val="0"/>
          <w:i w:val="0"/>
          <w:sz w:val="21"/>
        </w:rPr>
        <w:t>本文使用两个基准数据集。PASCAL VOC 2012 [10] 提供 20 个目标类别的 1,449 张验证图像，是无监督目标发现事实上的标准基准。MS COCO 2017 [11] 提供 80 个类别的 4,952 张验证图像，用于评估大规模跨数据集泛化能力。对于使用 OpenCLIP 的开放词汇分割，本文采用 VOC 2012 分割划分，共包含 21 个类别，其中包括背景类。</w:t>
      </w:r>
    </w:p>
    <w:p w14:paraId="0BD55645">
      <w:pPr>
        <w:spacing w:before="160" w:after="80"/>
      </w:pPr>
      <w:r>
        <w:rPr>
          <w:rFonts w:ascii="Times New Roman" w:hAnsi="Times New Roman" w:eastAsia="宋体"/>
          <w:b/>
          <w:i w:val="0"/>
          <w:sz w:val="24"/>
        </w:rPr>
        <w:t>评价指标</w:t>
      </w:r>
    </w:p>
    <w:p w14:paraId="10E2C43B">
      <w:pPr>
        <w:spacing w:after="60" w:line="276" w:lineRule="auto"/>
        <w:ind w:firstLine="420"/>
      </w:pPr>
      <w:r>
        <w:rPr>
          <w:rFonts w:ascii="Times New Roman" w:hAnsi="Times New Roman" w:eastAsia="宋体"/>
          <w:b w:val="0"/>
          <w:i w:val="0"/>
          <w:sz w:val="21"/>
        </w:rPr>
        <w:t>本文采用四个互补评价指标，其中 ↑ 表示数值越高越好。</w:t>
      </w:r>
    </w:p>
    <w:p w14:paraId="7A085923">
      <w:pPr>
        <w:spacing w:after="60" w:line="276" w:lineRule="auto"/>
        <w:jc w:val="center"/>
      </w:pPr>
      <w:r>
        <w:rPr>
          <w:rFonts w:ascii="Times New Roman" w:hAnsi="Times New Roman" w:eastAsia="宋体"/>
          <w:b/>
          <w:i w:val="0"/>
          <w:sz w:val="21"/>
        </w:rPr>
        <w:t>表 1. 评价指标说明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6E7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6DC6EA8E">
            <w:pPr>
              <w:spacing w:after="0" w:line="240" w:lineRule="auto"/>
              <w:jc w:val="center"/>
            </w:pPr>
            <w:r>
              <w:rPr>
                <w:rFonts w:ascii="Times New Roman" w:hAnsi="Times New Roman" w:eastAsia="宋体"/>
                <w:b/>
                <w:i w:val="0"/>
                <w:sz w:val="18"/>
              </w:rPr>
              <w:t>指标</w:t>
            </w:r>
          </w:p>
        </w:tc>
        <w:tc>
          <w:tcPr>
            <w:tcW w:w="2484" w:type="dxa"/>
            <w:shd w:val="clear" w:color="auto" w:fill="D9EAF7"/>
            <w:vAlign w:val="center"/>
          </w:tcPr>
          <w:p w14:paraId="40E82D1D">
            <w:pPr>
              <w:spacing w:after="0" w:line="240" w:lineRule="auto"/>
              <w:jc w:val="center"/>
            </w:pPr>
            <w:r>
              <w:rPr>
                <w:rFonts w:ascii="Times New Roman" w:hAnsi="Times New Roman" w:eastAsia="宋体"/>
                <w:b/>
                <w:i w:val="0"/>
                <w:sz w:val="18"/>
              </w:rPr>
              <w:t>方向</w:t>
            </w:r>
          </w:p>
        </w:tc>
        <w:tc>
          <w:tcPr>
            <w:tcW w:w="2484" w:type="dxa"/>
            <w:shd w:val="clear" w:color="auto" w:fill="D9EAF7"/>
            <w:vAlign w:val="center"/>
          </w:tcPr>
          <w:p w14:paraId="03F2E578">
            <w:pPr>
              <w:spacing w:after="0" w:line="240" w:lineRule="auto"/>
              <w:jc w:val="center"/>
            </w:pPr>
            <w:r>
              <w:rPr>
                <w:rFonts w:ascii="Times New Roman" w:hAnsi="Times New Roman" w:eastAsia="宋体"/>
                <w:b/>
                <w:i w:val="0"/>
                <w:sz w:val="18"/>
              </w:rPr>
              <w:t>定义</w:t>
            </w:r>
          </w:p>
        </w:tc>
        <w:tc>
          <w:tcPr>
            <w:tcW w:w="2484" w:type="dxa"/>
            <w:shd w:val="clear" w:color="auto" w:fill="D9EAF7"/>
            <w:vAlign w:val="center"/>
          </w:tcPr>
          <w:p w14:paraId="1E9B23B9">
            <w:pPr>
              <w:spacing w:after="0" w:line="240" w:lineRule="auto"/>
              <w:jc w:val="center"/>
            </w:pPr>
            <w:r>
              <w:rPr>
                <w:rFonts w:ascii="Times New Roman" w:hAnsi="Times New Roman" w:eastAsia="宋体"/>
                <w:b/>
                <w:i w:val="0"/>
                <w:sz w:val="18"/>
              </w:rPr>
              <w:t>衡量内容</w:t>
            </w:r>
          </w:p>
        </w:tc>
      </w:tr>
      <w:tr w14:paraId="7D82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8E59877">
            <w:pPr>
              <w:spacing w:after="0" w:line="240" w:lineRule="auto"/>
              <w:jc w:val="center"/>
            </w:pPr>
            <w:r>
              <w:rPr>
                <w:rFonts w:ascii="Times New Roman" w:hAnsi="Times New Roman" w:eastAsia="宋体"/>
                <w:b w:val="0"/>
                <w:i w:val="0"/>
                <w:sz w:val="18"/>
              </w:rPr>
              <w:t>CorLoc</w:t>
            </w:r>
          </w:p>
        </w:tc>
        <w:tc>
          <w:tcPr>
            <w:tcW w:w="2484" w:type="dxa"/>
            <w:vAlign w:val="center"/>
          </w:tcPr>
          <w:p w14:paraId="33BBA72E">
            <w:pPr>
              <w:spacing w:after="0" w:line="240" w:lineRule="auto"/>
              <w:jc w:val="center"/>
            </w:pPr>
            <w:r>
              <w:rPr>
                <w:rFonts w:ascii="Times New Roman" w:hAnsi="Times New Roman" w:eastAsia="宋体"/>
                <w:b w:val="0"/>
                <w:i w:val="0"/>
                <w:sz w:val="18"/>
              </w:rPr>
              <w:t>↑</w:t>
            </w:r>
          </w:p>
        </w:tc>
        <w:tc>
          <w:tcPr>
            <w:tcW w:w="2484" w:type="dxa"/>
            <w:vAlign w:val="center"/>
          </w:tcPr>
          <w:p w14:paraId="11C6A1D4">
            <w:pPr>
              <w:spacing w:after="0" w:line="240" w:lineRule="auto"/>
              <w:jc w:val="center"/>
            </w:pPr>
            <w:r>
              <w:rPr>
                <w:rFonts w:ascii="Times New Roman" w:hAnsi="Times New Roman" w:eastAsia="宋体"/>
                <w:b w:val="0"/>
                <w:i w:val="0"/>
                <w:sz w:val="18"/>
              </w:rPr>
              <w:t>预测前景图像块质心落入任一真实边界框内的图像比例</w:t>
            </w:r>
          </w:p>
        </w:tc>
        <w:tc>
          <w:tcPr>
            <w:tcW w:w="2484" w:type="dxa"/>
            <w:vAlign w:val="center"/>
          </w:tcPr>
          <w:p w14:paraId="19D33BF4">
            <w:pPr>
              <w:spacing w:after="0" w:line="240" w:lineRule="auto"/>
              <w:jc w:val="center"/>
            </w:pPr>
            <w:r>
              <w:rPr>
                <w:rFonts w:ascii="Times New Roman" w:hAnsi="Times New Roman" w:eastAsia="宋体"/>
                <w:b w:val="0"/>
                <w:i w:val="0"/>
                <w:sz w:val="18"/>
              </w:rPr>
              <w:t>粗粒度空间定位</w:t>
            </w:r>
          </w:p>
        </w:tc>
      </w:tr>
      <w:tr w14:paraId="2230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63B4EAB">
            <w:pPr>
              <w:spacing w:after="0" w:line="240" w:lineRule="auto"/>
              <w:jc w:val="center"/>
            </w:pPr>
            <w:r>
              <w:rPr>
                <w:rFonts w:ascii="Times New Roman" w:hAnsi="Times New Roman" w:eastAsia="宋体"/>
                <w:b w:val="0"/>
                <w:i w:val="0"/>
                <w:sz w:val="18"/>
              </w:rPr>
              <w:t>Mask IoU</w:t>
            </w:r>
          </w:p>
        </w:tc>
        <w:tc>
          <w:tcPr>
            <w:tcW w:w="2484" w:type="dxa"/>
            <w:vAlign w:val="center"/>
          </w:tcPr>
          <w:p w14:paraId="5F036509">
            <w:pPr>
              <w:spacing w:after="0" w:line="240" w:lineRule="auto"/>
              <w:jc w:val="center"/>
            </w:pPr>
            <w:r>
              <w:rPr>
                <w:rFonts w:ascii="Times New Roman" w:hAnsi="Times New Roman" w:eastAsia="宋体"/>
                <w:b w:val="0"/>
                <w:i w:val="0"/>
                <w:sz w:val="18"/>
              </w:rPr>
              <w:t>↑</w:t>
            </w:r>
          </w:p>
        </w:tc>
        <w:tc>
          <w:tcPr>
            <w:tcW w:w="2484" w:type="dxa"/>
            <w:vAlign w:val="center"/>
          </w:tcPr>
          <w:p w14:paraId="3AC779BB">
            <w:pPr>
              <w:spacing w:after="0" w:line="240" w:lineRule="auto"/>
              <w:jc w:val="center"/>
            </w:pPr>
            <w:r>
              <w:rPr>
                <w:rFonts w:ascii="Times New Roman" w:hAnsi="Times New Roman" w:eastAsia="宋体"/>
                <w:b w:val="0"/>
                <w:i w:val="0"/>
                <w:sz w:val="18"/>
              </w:rPr>
              <w:t>二值化预测前景掩码与真实分割掩码之间的 IoU，并对所有图像求平均</w:t>
            </w:r>
          </w:p>
        </w:tc>
        <w:tc>
          <w:tcPr>
            <w:tcW w:w="2484" w:type="dxa"/>
            <w:vAlign w:val="center"/>
          </w:tcPr>
          <w:p w14:paraId="65F94468">
            <w:pPr>
              <w:spacing w:after="0" w:line="240" w:lineRule="auto"/>
              <w:jc w:val="center"/>
            </w:pPr>
            <w:r>
              <w:rPr>
                <w:rFonts w:ascii="Times New Roman" w:hAnsi="Times New Roman" w:eastAsia="宋体"/>
                <w:b w:val="0"/>
                <w:i w:val="0"/>
                <w:sz w:val="18"/>
              </w:rPr>
              <w:t>空间掩码精度</w:t>
            </w:r>
          </w:p>
        </w:tc>
      </w:tr>
      <w:tr w14:paraId="2884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DFE26C6">
            <w:pPr>
              <w:spacing w:after="0" w:line="240" w:lineRule="auto"/>
              <w:jc w:val="center"/>
            </w:pPr>
            <w:r>
              <w:rPr>
                <w:rFonts w:ascii="Times New Roman" w:hAnsi="Times New Roman" w:eastAsia="宋体"/>
                <w:b w:val="0"/>
                <w:i w:val="0"/>
                <w:sz w:val="18"/>
              </w:rPr>
              <w:t>PiB</w:t>
            </w:r>
          </w:p>
        </w:tc>
        <w:tc>
          <w:tcPr>
            <w:tcW w:w="2484" w:type="dxa"/>
            <w:vAlign w:val="center"/>
          </w:tcPr>
          <w:p w14:paraId="406950DE">
            <w:pPr>
              <w:spacing w:after="0" w:line="240" w:lineRule="auto"/>
              <w:jc w:val="center"/>
            </w:pPr>
            <w:r>
              <w:rPr>
                <w:rFonts w:ascii="Times New Roman" w:hAnsi="Times New Roman" w:eastAsia="宋体"/>
                <w:b w:val="0"/>
                <w:i w:val="0"/>
                <w:sz w:val="18"/>
              </w:rPr>
              <w:t>↑</w:t>
            </w:r>
          </w:p>
        </w:tc>
        <w:tc>
          <w:tcPr>
            <w:tcW w:w="2484" w:type="dxa"/>
            <w:vAlign w:val="center"/>
          </w:tcPr>
          <w:p w14:paraId="4C004F85">
            <w:pPr>
              <w:spacing w:after="0" w:line="240" w:lineRule="auto"/>
              <w:jc w:val="center"/>
            </w:pPr>
            <w:r>
              <w:rPr>
                <w:rFonts w:ascii="Times New Roman" w:hAnsi="Times New Roman" w:eastAsia="宋体"/>
                <w:b w:val="0"/>
                <w:i w:val="0"/>
                <w:sz w:val="18"/>
              </w:rPr>
              <w:t>与 CLS 相似度最高的图像块落入标注前景框内的图像比例</w:t>
            </w:r>
          </w:p>
        </w:tc>
        <w:tc>
          <w:tcPr>
            <w:tcW w:w="2484" w:type="dxa"/>
            <w:vAlign w:val="center"/>
          </w:tcPr>
          <w:p w14:paraId="2DEA9085">
            <w:pPr>
              <w:spacing w:after="0" w:line="240" w:lineRule="auto"/>
              <w:jc w:val="center"/>
            </w:pPr>
            <w:r>
              <w:rPr>
                <w:rFonts w:ascii="Times New Roman" w:hAnsi="Times New Roman" w:eastAsia="宋体"/>
                <w:b w:val="0"/>
                <w:i w:val="0"/>
                <w:sz w:val="18"/>
              </w:rPr>
              <w:t>细粒度定位</w:t>
            </w:r>
          </w:p>
        </w:tc>
      </w:tr>
      <w:tr w14:paraId="447F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0792C32">
            <w:pPr>
              <w:spacing w:after="0" w:line="240" w:lineRule="auto"/>
              <w:jc w:val="center"/>
            </w:pPr>
            <w:r>
              <w:rPr>
                <w:rFonts w:ascii="Times New Roman" w:hAnsi="Times New Roman" w:eastAsia="宋体"/>
                <w:b w:val="0"/>
                <w:i w:val="0"/>
                <w:sz w:val="18"/>
              </w:rPr>
              <w:t>mIoU</w:t>
            </w:r>
          </w:p>
        </w:tc>
        <w:tc>
          <w:tcPr>
            <w:tcW w:w="2484" w:type="dxa"/>
            <w:vAlign w:val="center"/>
          </w:tcPr>
          <w:p w14:paraId="03FE4E35">
            <w:pPr>
              <w:spacing w:after="0" w:line="240" w:lineRule="auto"/>
              <w:jc w:val="center"/>
            </w:pPr>
            <w:r>
              <w:rPr>
                <w:rFonts w:ascii="Times New Roman" w:hAnsi="Times New Roman" w:eastAsia="宋体"/>
                <w:b w:val="0"/>
                <w:i w:val="0"/>
                <w:sz w:val="18"/>
              </w:rPr>
              <w:t>↑</w:t>
            </w:r>
          </w:p>
        </w:tc>
        <w:tc>
          <w:tcPr>
            <w:tcW w:w="2484" w:type="dxa"/>
            <w:vAlign w:val="center"/>
          </w:tcPr>
          <w:p w14:paraId="4E005F9A">
            <w:pPr>
              <w:spacing w:after="0" w:line="240" w:lineRule="auto"/>
              <w:jc w:val="center"/>
            </w:pPr>
            <w:r>
              <w:rPr>
                <w:rFonts w:ascii="Times New Roman" w:hAnsi="Times New Roman" w:eastAsia="宋体"/>
                <w:b w:val="0"/>
                <w:i w:val="0"/>
                <w:sz w:val="18"/>
              </w:rPr>
              <w:t>21 个类别的平均类别 IoU</w:t>
            </w:r>
          </w:p>
        </w:tc>
        <w:tc>
          <w:tcPr>
            <w:tcW w:w="2484" w:type="dxa"/>
            <w:vAlign w:val="center"/>
          </w:tcPr>
          <w:p w14:paraId="5036562E">
            <w:pPr>
              <w:spacing w:after="0" w:line="240" w:lineRule="auto"/>
              <w:jc w:val="center"/>
            </w:pPr>
            <w:r>
              <w:rPr>
                <w:rFonts w:ascii="Times New Roman" w:hAnsi="Times New Roman" w:eastAsia="宋体"/>
                <w:b w:val="0"/>
                <w:i w:val="0"/>
                <w:sz w:val="18"/>
              </w:rPr>
              <w:t>开放词汇分割（仅 OpenCLIP）</w:t>
            </w:r>
          </w:p>
        </w:tc>
      </w:tr>
    </w:tbl>
    <w:p w14:paraId="32EDA60B"/>
    <w:p w14:paraId="7132E010">
      <w:pPr>
        <w:spacing w:after="60" w:line="276" w:lineRule="auto"/>
        <w:ind w:firstLine="420"/>
      </w:pPr>
      <w:r>
        <w:rPr>
          <w:rFonts w:ascii="Times New Roman" w:hAnsi="Times New Roman" w:eastAsia="宋体"/>
          <w:b w:val="0"/>
          <w:i w:val="0"/>
          <w:sz w:val="21"/>
        </w:rPr>
        <w:t>CorLoc 用于考察模型是否定位到目标；Mask IoU 用于考察模型对目标边界的刻画精度；PiB 则用于考察模型认为最显著的具体图像块是否位于前景内。三者共同从三个维度反映定位质量。</w:t>
      </w:r>
    </w:p>
    <w:p w14:paraId="71EEE17E">
      <w:pPr>
        <w:spacing w:before="160" w:after="80"/>
      </w:pPr>
      <w:r>
        <w:rPr>
          <w:rFonts w:ascii="Times New Roman" w:hAnsi="Times New Roman" w:eastAsia="宋体"/>
          <w:b/>
          <w:i w:val="0"/>
          <w:sz w:val="24"/>
        </w:rPr>
        <w:t>比较方法</w:t>
      </w:r>
    </w:p>
    <w:p w14:paraId="7FABF14B">
      <w:pPr>
        <w:spacing w:after="60" w:line="276" w:lineRule="auto"/>
        <w:ind w:firstLine="420"/>
      </w:pPr>
      <w:r>
        <w:rPr>
          <w:rFonts w:ascii="Times New Roman" w:hAnsi="Times New Roman" w:eastAsia="宋体"/>
          <w:b w:val="0"/>
          <w:i w:val="0"/>
          <w:sz w:val="21"/>
        </w:rPr>
        <w:t>本文与六种基线方法进行比较，这些方法覆盖三类不同技术路线。</w:t>
      </w:r>
    </w:p>
    <w:p w14:paraId="05041F1D">
      <w:pPr>
        <w:spacing w:after="60" w:line="276" w:lineRule="auto"/>
        <w:ind w:firstLine="420"/>
      </w:pPr>
      <w:r>
        <w:rPr>
          <w:rFonts w:ascii="Times New Roman" w:hAnsi="Times New Roman" w:eastAsia="宋体"/>
          <w:b w:val="0"/>
          <w:i w:val="0"/>
          <w:sz w:val="21"/>
        </w:rPr>
        <w:t>注意力图方法不通过学习聚合模块，而是从网络激活中提取定位信号：CAM [5] 根据分类器梯度生成类别特定热图；DINO-seg [6] 从自监督 DINO ViT 中提取自注意力图，并通过阈值化得到前景掩码。</w:t>
      </w:r>
    </w:p>
    <w:p w14:paraId="63157A7F">
      <w:pPr>
        <w:spacing w:after="60" w:line="276" w:lineRule="auto"/>
        <w:ind w:firstLine="420"/>
      </w:pPr>
      <w:r>
        <w:rPr>
          <w:rFonts w:ascii="Times New Roman" w:hAnsi="Times New Roman" w:eastAsia="宋体"/>
          <w:b w:val="0"/>
          <w:i w:val="0"/>
          <w:sz w:val="21"/>
        </w:rPr>
        <w:t>图方法包括 TokenCut [7]，该方法在 DINO 最后一层注意力的键亲和矩阵上执行归一化割，从而得到前景—背景二划分。</w:t>
      </w:r>
    </w:p>
    <w:p w14:paraId="24FFEAB3">
      <w:pPr>
        <w:spacing w:after="60" w:line="276" w:lineRule="auto"/>
        <w:ind w:firstLine="420"/>
      </w:pPr>
      <w:r>
        <w:rPr>
          <w:rFonts w:ascii="Times New Roman" w:hAnsi="Times New Roman" w:eastAsia="宋体"/>
          <w:b w:val="0"/>
          <w:i w:val="0"/>
          <w:sz w:val="21"/>
        </w:rPr>
        <w:t>CLS 聚合方法在冻结多层 ViT 特征上训练轻量模块：LaSt-ViT [2] 通过 FFT 学习每个图像块的频率稳定性得分，并选择 Top-K 稳定图像块进行 CLS 聚合，是本文方法的直接前身。MaskCLIP [8] 使用 CLIP 倒数第二层图像块—文本余弦相似度进行逐像素开放词汇预测，是基于 CLIP 的基线方法。</w:t>
      </w:r>
    </w:p>
    <w:p w14:paraId="4EC22F6C">
      <w:pPr>
        <w:spacing w:before="160" w:after="80"/>
      </w:pPr>
      <w:r>
        <w:rPr>
          <w:rFonts w:ascii="Times New Roman" w:hAnsi="Times New Roman" w:eastAsia="宋体"/>
          <w:b/>
          <w:i w:val="0"/>
          <w:sz w:val="24"/>
        </w:rPr>
        <w:t>实现细节</w:t>
      </w:r>
    </w:p>
    <w:p w14:paraId="6DC65A2D">
      <w:pPr>
        <w:spacing w:after="60" w:line="276" w:lineRule="auto"/>
        <w:ind w:firstLine="420"/>
      </w:pPr>
      <w:r>
        <w:rPr>
          <w:rFonts w:ascii="Times New Roman" w:hAnsi="Times New Roman" w:eastAsia="宋体"/>
          <w:b w:val="0"/>
          <w:i w:val="0"/>
          <w:sz w:val="21"/>
        </w:rPr>
        <w:t>在 DINO 实验中，本文使用自监督 DINO 预训练的 ViT-S/16 [1] 作为冻结骨干网络。多层图像块特征从 {3, 6, 9, 12} 层提取，并投影到统一的 384 维空间。在 OpenCLIP 实验中，本文使用在 LAION-2B [9] 上预训练的 ViT-B/16。聚合模块训练 50 个 epoch，batch size 为 16，学习率为 10⁻⁴，优化器为 AdamW，权重衰减为 0.01，并采用余弦退火。损失权重设置为 λ_fg=0.1（前景掩码）、λ_dec=0.05（解耦）和 λ_budget=0.01（预算正则化）。所有实验均在单张 NVIDIA RTX 4070 Laptop GPU 上完成。DINO ViT-S/16 骨干网络被冻结，包含 21.67M 参数且无可训练参数；仅更新 0.59M 参数的聚合头。</w:t>
      </w:r>
    </w:p>
    <w:p w14:paraId="78C05BF6">
      <w:pPr>
        <w:spacing w:before="160" w:after="80"/>
      </w:pPr>
      <w:r>
        <w:rPr>
          <w:rFonts w:ascii="Times New Roman" w:hAnsi="Times New Roman" w:eastAsia="宋体"/>
          <w:b/>
          <w:i w:val="0"/>
          <w:sz w:val="24"/>
        </w:rPr>
        <w:t>B. 主要结果</w:t>
      </w:r>
    </w:p>
    <w:p w14:paraId="259D73E4">
      <w:pPr>
        <w:jc w:val="center"/>
      </w:pPr>
      <w:r>
        <w:drawing>
          <wp:inline distT="0" distB="0" distL="114300" distR="114300">
            <wp:extent cx="6035040" cy="3979545"/>
            <wp:effectExtent l="0" t="0" r="1016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980134"/>
                    </a:xfrm>
                    <a:prstGeom prst="rect">
                      <a:avLst/>
                    </a:prstGeom>
                  </pic:spPr>
                </pic:pic>
              </a:graphicData>
            </a:graphic>
          </wp:inline>
        </w:drawing>
      </w:r>
    </w:p>
    <w:p w14:paraId="7AD8B7F4">
      <w:pPr>
        <w:spacing w:after="60" w:line="276" w:lineRule="auto"/>
        <w:jc w:val="center"/>
      </w:pPr>
      <w:r>
        <w:rPr>
          <w:rFonts w:ascii="Times New Roman" w:hAnsi="Times New Roman" w:eastAsia="宋体"/>
          <w:b w:val="0"/>
          <w:i w:val="0"/>
          <w:sz w:val="19"/>
        </w:rPr>
        <w:t>图 2. 主要结果。（a）VOC 2012 目标发现：五种基于 DINO 的方法和两种基于 CLIP 的方法在 CorLoc、Mask IoU 和 PiB 上的分组柱状比较。（b）COCO 2017 跨数据集泛化结果。（c）DAFB-CLS 相比各基线的提升幅度。（d）DINO ViT-S/16 + VOC 上的组件消融。</w:t>
      </w:r>
    </w:p>
    <w:p w14:paraId="36DD9420">
      <w:pPr>
        <w:spacing w:before="160" w:after="80"/>
      </w:pPr>
      <w:r>
        <w:rPr>
          <w:rFonts w:ascii="Times New Roman" w:hAnsi="Times New Roman" w:eastAsia="宋体"/>
          <w:b/>
          <w:i w:val="0"/>
          <w:sz w:val="24"/>
        </w:rPr>
        <w:t>VOC 2012 上的目标发现</w:t>
      </w:r>
    </w:p>
    <w:p w14:paraId="160ECDB5">
      <w:pPr>
        <w:spacing w:after="60" w:line="276" w:lineRule="auto"/>
        <w:ind w:firstLine="420"/>
      </w:pPr>
      <w:r>
        <w:rPr>
          <w:rFonts w:ascii="Times New Roman" w:hAnsi="Times New Roman" w:eastAsia="宋体"/>
          <w:b w:val="0"/>
          <w:i w:val="0"/>
          <w:sz w:val="21"/>
        </w:rPr>
        <w:t>表 1 比较了在 VOC 验证集上使用 DINO ViT-S/16 时，DAFB-CLS 与所有基线方法的表现。原始 ViT 基线（仅 CLS 聚合且无前景线索）只取得 29.33% 的 CorLoc，这证实默认 CLS 标记并不能作为可靠的目标定位器，其全局感受野会把前景信号与背景上下文混合。</w:t>
      </w:r>
    </w:p>
    <w:p w14:paraId="1E35F7AC">
      <w:pPr>
        <w:spacing w:after="60" w:line="276" w:lineRule="auto"/>
        <w:jc w:val="center"/>
      </w:pPr>
      <w:r>
        <w:rPr>
          <w:rFonts w:ascii="Times New Roman" w:hAnsi="Times New Roman" w:eastAsia="宋体"/>
          <w:b/>
          <w:i w:val="0"/>
          <w:sz w:val="21"/>
        </w:rPr>
        <w:t>表 I. VOC 2012 目标发现结果（DINO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6303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3908D6CB">
            <w:pPr>
              <w:spacing w:after="0" w:line="240" w:lineRule="auto"/>
              <w:jc w:val="center"/>
            </w:pPr>
            <w:r>
              <w:rPr>
                <w:rFonts w:ascii="Times New Roman" w:hAnsi="Times New Roman" w:eastAsia="宋体"/>
                <w:b/>
                <w:i w:val="0"/>
                <w:sz w:val="18"/>
              </w:rPr>
              <w:t>方法</w:t>
            </w:r>
          </w:p>
        </w:tc>
        <w:tc>
          <w:tcPr>
            <w:tcW w:w="1987" w:type="dxa"/>
            <w:shd w:val="clear" w:color="auto" w:fill="D9EAF7"/>
            <w:vAlign w:val="center"/>
          </w:tcPr>
          <w:p w14:paraId="0F3F3E37">
            <w:pPr>
              <w:spacing w:after="0" w:line="240" w:lineRule="auto"/>
              <w:jc w:val="center"/>
            </w:pPr>
            <w:r>
              <w:rPr>
                <w:rFonts w:ascii="Times New Roman" w:hAnsi="Times New Roman" w:eastAsia="宋体"/>
                <w:b/>
                <w:i w:val="0"/>
                <w:sz w:val="18"/>
              </w:rPr>
              <w:t>骨干网络</w:t>
            </w:r>
          </w:p>
        </w:tc>
        <w:tc>
          <w:tcPr>
            <w:tcW w:w="1987" w:type="dxa"/>
            <w:shd w:val="clear" w:color="auto" w:fill="D9EAF7"/>
            <w:vAlign w:val="center"/>
          </w:tcPr>
          <w:p w14:paraId="2356B8CE">
            <w:pPr>
              <w:spacing w:after="0" w:line="240" w:lineRule="auto"/>
              <w:jc w:val="center"/>
            </w:pPr>
            <w:r>
              <w:rPr>
                <w:rFonts w:ascii="Times New Roman" w:hAnsi="Times New Roman" w:eastAsia="宋体"/>
                <w:b/>
                <w:i w:val="0"/>
                <w:sz w:val="18"/>
              </w:rPr>
              <w:t>CorLoc ↑</w:t>
            </w:r>
          </w:p>
        </w:tc>
        <w:tc>
          <w:tcPr>
            <w:tcW w:w="1987" w:type="dxa"/>
            <w:shd w:val="clear" w:color="auto" w:fill="D9EAF7"/>
            <w:vAlign w:val="center"/>
          </w:tcPr>
          <w:p w14:paraId="076B53E4">
            <w:pPr>
              <w:spacing w:after="0" w:line="240" w:lineRule="auto"/>
              <w:jc w:val="center"/>
            </w:pPr>
            <w:r>
              <w:rPr>
                <w:rFonts w:ascii="Times New Roman" w:hAnsi="Times New Roman" w:eastAsia="宋体"/>
                <w:b/>
                <w:i w:val="0"/>
                <w:sz w:val="18"/>
              </w:rPr>
              <w:t>Mask IoU ↑</w:t>
            </w:r>
          </w:p>
        </w:tc>
        <w:tc>
          <w:tcPr>
            <w:tcW w:w="1987" w:type="dxa"/>
            <w:shd w:val="clear" w:color="auto" w:fill="D9EAF7"/>
            <w:vAlign w:val="center"/>
          </w:tcPr>
          <w:p w14:paraId="378DDD0B">
            <w:pPr>
              <w:spacing w:after="0" w:line="240" w:lineRule="auto"/>
              <w:jc w:val="center"/>
            </w:pPr>
            <w:r>
              <w:rPr>
                <w:rFonts w:ascii="Times New Roman" w:hAnsi="Times New Roman" w:eastAsia="宋体"/>
                <w:b/>
                <w:i w:val="0"/>
                <w:sz w:val="18"/>
              </w:rPr>
              <w:t>PiB ↑</w:t>
            </w:r>
          </w:p>
        </w:tc>
      </w:tr>
      <w:tr w14:paraId="6788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8BB0AC3">
            <w:pPr>
              <w:spacing w:after="0" w:line="240" w:lineRule="auto"/>
              <w:jc w:val="center"/>
            </w:pPr>
            <w:r>
              <w:rPr>
                <w:rFonts w:ascii="Times New Roman" w:hAnsi="Times New Roman" w:eastAsia="宋体"/>
                <w:b w:val="0"/>
                <w:i w:val="0"/>
                <w:sz w:val="18"/>
              </w:rPr>
              <w:t>CAM</w:t>
            </w:r>
          </w:p>
        </w:tc>
        <w:tc>
          <w:tcPr>
            <w:tcW w:w="1987" w:type="dxa"/>
            <w:vAlign w:val="center"/>
          </w:tcPr>
          <w:p w14:paraId="13875B07">
            <w:pPr>
              <w:spacing w:after="0" w:line="240" w:lineRule="auto"/>
              <w:jc w:val="center"/>
            </w:pPr>
            <w:r>
              <w:rPr>
                <w:rFonts w:ascii="Times New Roman" w:hAnsi="Times New Roman" w:eastAsia="宋体"/>
                <w:b w:val="0"/>
                <w:i w:val="0"/>
                <w:sz w:val="18"/>
              </w:rPr>
              <w:t>DINO-S</w:t>
            </w:r>
          </w:p>
        </w:tc>
        <w:tc>
          <w:tcPr>
            <w:tcW w:w="1987" w:type="dxa"/>
            <w:vAlign w:val="center"/>
          </w:tcPr>
          <w:p w14:paraId="65DC3B55">
            <w:pPr>
              <w:spacing w:after="0" w:line="240" w:lineRule="auto"/>
              <w:jc w:val="center"/>
            </w:pPr>
            <w:r>
              <w:rPr>
                <w:rFonts w:ascii="Times New Roman" w:hAnsi="Times New Roman" w:eastAsia="宋体"/>
                <w:b w:val="0"/>
                <w:i w:val="0"/>
                <w:sz w:val="18"/>
              </w:rPr>
              <w:t>62.8</w:t>
            </w:r>
          </w:p>
        </w:tc>
        <w:tc>
          <w:tcPr>
            <w:tcW w:w="1987" w:type="dxa"/>
            <w:vAlign w:val="center"/>
          </w:tcPr>
          <w:p w14:paraId="2011116D">
            <w:pPr>
              <w:spacing w:after="0" w:line="240" w:lineRule="auto"/>
              <w:jc w:val="center"/>
            </w:pPr>
            <w:r>
              <w:rPr>
                <w:rFonts w:ascii="Times New Roman" w:hAnsi="Times New Roman" w:eastAsia="宋体"/>
                <w:b w:val="0"/>
                <w:i w:val="0"/>
                <w:sz w:val="18"/>
              </w:rPr>
              <w:t>3.52</w:t>
            </w:r>
          </w:p>
        </w:tc>
        <w:tc>
          <w:tcPr>
            <w:tcW w:w="1987" w:type="dxa"/>
            <w:vAlign w:val="center"/>
          </w:tcPr>
          <w:p w14:paraId="27D6B3FC">
            <w:pPr>
              <w:spacing w:after="0" w:line="240" w:lineRule="auto"/>
              <w:jc w:val="center"/>
            </w:pPr>
            <w:r>
              <w:rPr>
                <w:rFonts w:ascii="Times New Roman" w:hAnsi="Times New Roman" w:eastAsia="宋体"/>
                <w:b w:val="0"/>
                <w:i w:val="0"/>
                <w:sz w:val="18"/>
              </w:rPr>
              <w:t>21.26</w:t>
            </w:r>
          </w:p>
        </w:tc>
      </w:tr>
      <w:tr w14:paraId="521D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570019B">
            <w:pPr>
              <w:spacing w:after="0" w:line="240" w:lineRule="auto"/>
              <w:jc w:val="center"/>
            </w:pPr>
            <w:r>
              <w:rPr>
                <w:rFonts w:ascii="Times New Roman" w:hAnsi="Times New Roman" w:eastAsia="宋体"/>
                <w:b w:val="0"/>
                <w:i w:val="0"/>
                <w:sz w:val="18"/>
              </w:rPr>
              <w:t>DINO-seg</w:t>
            </w:r>
          </w:p>
        </w:tc>
        <w:tc>
          <w:tcPr>
            <w:tcW w:w="1987" w:type="dxa"/>
            <w:vAlign w:val="center"/>
          </w:tcPr>
          <w:p w14:paraId="109D101D">
            <w:pPr>
              <w:spacing w:after="0" w:line="240" w:lineRule="auto"/>
              <w:jc w:val="center"/>
            </w:pPr>
            <w:r>
              <w:rPr>
                <w:rFonts w:ascii="Times New Roman" w:hAnsi="Times New Roman" w:eastAsia="宋体"/>
                <w:b w:val="0"/>
                <w:i w:val="0"/>
                <w:sz w:val="18"/>
              </w:rPr>
              <w:t>DINO-S</w:t>
            </w:r>
          </w:p>
        </w:tc>
        <w:tc>
          <w:tcPr>
            <w:tcW w:w="1987" w:type="dxa"/>
            <w:vAlign w:val="center"/>
          </w:tcPr>
          <w:p w14:paraId="3D8CAA5A">
            <w:pPr>
              <w:spacing w:after="0" w:line="240" w:lineRule="auto"/>
              <w:jc w:val="center"/>
            </w:pPr>
            <w:r>
              <w:rPr>
                <w:rFonts w:ascii="Times New Roman" w:hAnsi="Times New Roman" w:eastAsia="宋体"/>
                <w:b w:val="0"/>
                <w:i w:val="0"/>
                <w:sz w:val="18"/>
              </w:rPr>
              <w:t>68.46</w:t>
            </w:r>
          </w:p>
        </w:tc>
        <w:tc>
          <w:tcPr>
            <w:tcW w:w="1987" w:type="dxa"/>
            <w:vAlign w:val="center"/>
          </w:tcPr>
          <w:p w14:paraId="52894FCB">
            <w:pPr>
              <w:spacing w:after="0" w:line="240" w:lineRule="auto"/>
              <w:jc w:val="center"/>
            </w:pPr>
            <w:r>
              <w:rPr>
                <w:rFonts w:ascii="Times New Roman" w:hAnsi="Times New Roman" w:eastAsia="宋体"/>
                <w:b w:val="0"/>
                <w:i w:val="0"/>
                <w:sz w:val="18"/>
              </w:rPr>
              <w:t>8.83</w:t>
            </w:r>
          </w:p>
        </w:tc>
        <w:tc>
          <w:tcPr>
            <w:tcW w:w="1987" w:type="dxa"/>
            <w:vAlign w:val="center"/>
          </w:tcPr>
          <w:p w14:paraId="3C242871">
            <w:pPr>
              <w:spacing w:after="0" w:line="240" w:lineRule="auto"/>
              <w:jc w:val="center"/>
            </w:pPr>
            <w:r>
              <w:rPr>
                <w:rFonts w:ascii="Times New Roman" w:hAnsi="Times New Roman" w:eastAsia="宋体"/>
                <w:b w:val="0"/>
                <w:i w:val="0"/>
                <w:sz w:val="18"/>
              </w:rPr>
              <w:t>24.64</w:t>
            </w:r>
          </w:p>
        </w:tc>
      </w:tr>
      <w:tr w14:paraId="3237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37FA536">
            <w:pPr>
              <w:spacing w:after="0" w:line="240" w:lineRule="auto"/>
              <w:jc w:val="center"/>
            </w:pPr>
            <w:r>
              <w:rPr>
                <w:rFonts w:ascii="Times New Roman" w:hAnsi="Times New Roman" w:eastAsia="宋体"/>
                <w:b w:val="0"/>
                <w:i w:val="0"/>
                <w:sz w:val="18"/>
              </w:rPr>
              <w:t>TokenCut</w:t>
            </w:r>
          </w:p>
        </w:tc>
        <w:tc>
          <w:tcPr>
            <w:tcW w:w="1987" w:type="dxa"/>
            <w:vAlign w:val="center"/>
          </w:tcPr>
          <w:p w14:paraId="597858BC">
            <w:pPr>
              <w:spacing w:after="0" w:line="240" w:lineRule="auto"/>
              <w:jc w:val="center"/>
            </w:pPr>
            <w:r>
              <w:rPr>
                <w:rFonts w:ascii="Times New Roman" w:hAnsi="Times New Roman" w:eastAsia="宋体"/>
                <w:b w:val="0"/>
                <w:i w:val="0"/>
                <w:sz w:val="18"/>
              </w:rPr>
              <w:t>DINO-S</w:t>
            </w:r>
          </w:p>
        </w:tc>
        <w:tc>
          <w:tcPr>
            <w:tcW w:w="1987" w:type="dxa"/>
            <w:vAlign w:val="center"/>
          </w:tcPr>
          <w:p w14:paraId="22094BB6">
            <w:pPr>
              <w:spacing w:after="0" w:line="240" w:lineRule="auto"/>
              <w:jc w:val="center"/>
            </w:pPr>
            <w:r>
              <w:rPr>
                <w:rFonts w:ascii="Times New Roman" w:hAnsi="Times New Roman" w:eastAsia="宋体"/>
                <w:b w:val="0"/>
                <w:i w:val="0"/>
                <w:sz w:val="18"/>
              </w:rPr>
              <w:t>58.52</w:t>
            </w:r>
          </w:p>
        </w:tc>
        <w:tc>
          <w:tcPr>
            <w:tcW w:w="1987" w:type="dxa"/>
            <w:vAlign w:val="center"/>
          </w:tcPr>
          <w:p w14:paraId="7FEB9941">
            <w:pPr>
              <w:spacing w:after="0" w:line="240" w:lineRule="auto"/>
              <w:jc w:val="center"/>
            </w:pPr>
            <w:r>
              <w:rPr>
                <w:rFonts w:ascii="Times New Roman" w:hAnsi="Times New Roman" w:eastAsia="宋体"/>
                <w:b w:val="0"/>
                <w:i w:val="0"/>
                <w:sz w:val="18"/>
              </w:rPr>
              <w:t>6.17</w:t>
            </w:r>
          </w:p>
        </w:tc>
        <w:tc>
          <w:tcPr>
            <w:tcW w:w="1987" w:type="dxa"/>
            <w:vAlign w:val="center"/>
          </w:tcPr>
          <w:p w14:paraId="038786A2">
            <w:pPr>
              <w:spacing w:after="0" w:line="240" w:lineRule="auto"/>
              <w:jc w:val="center"/>
            </w:pPr>
            <w:r>
              <w:rPr>
                <w:rFonts w:ascii="Times New Roman" w:hAnsi="Times New Roman" w:eastAsia="宋体"/>
                <w:b w:val="0"/>
                <w:i w:val="0"/>
                <w:sz w:val="18"/>
              </w:rPr>
              <w:t>25.6</w:t>
            </w:r>
          </w:p>
        </w:tc>
      </w:tr>
      <w:tr w14:paraId="7DEF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A227CD4">
            <w:pPr>
              <w:spacing w:after="0" w:line="240" w:lineRule="auto"/>
              <w:jc w:val="center"/>
            </w:pPr>
            <w:r>
              <w:rPr>
                <w:rFonts w:ascii="Times New Roman" w:hAnsi="Times New Roman" w:eastAsia="宋体"/>
                <w:b w:val="0"/>
                <w:i w:val="0"/>
                <w:sz w:val="18"/>
              </w:rPr>
              <w:t>LaSt-ViT</w:t>
            </w:r>
          </w:p>
        </w:tc>
        <w:tc>
          <w:tcPr>
            <w:tcW w:w="1987" w:type="dxa"/>
            <w:vAlign w:val="center"/>
          </w:tcPr>
          <w:p w14:paraId="0DBB8090">
            <w:pPr>
              <w:spacing w:after="0" w:line="240" w:lineRule="auto"/>
              <w:jc w:val="center"/>
            </w:pPr>
            <w:r>
              <w:rPr>
                <w:rFonts w:ascii="Times New Roman" w:hAnsi="Times New Roman" w:eastAsia="宋体"/>
                <w:b w:val="0"/>
                <w:i w:val="0"/>
                <w:sz w:val="18"/>
              </w:rPr>
              <w:t>DINO-S</w:t>
            </w:r>
          </w:p>
        </w:tc>
        <w:tc>
          <w:tcPr>
            <w:tcW w:w="1987" w:type="dxa"/>
            <w:vAlign w:val="center"/>
          </w:tcPr>
          <w:p w14:paraId="2E7264BA">
            <w:pPr>
              <w:spacing w:after="0" w:line="240" w:lineRule="auto"/>
              <w:jc w:val="center"/>
            </w:pPr>
            <w:r>
              <w:rPr>
                <w:rFonts w:ascii="Times New Roman" w:hAnsi="Times New Roman" w:eastAsia="宋体"/>
                <w:b w:val="0"/>
                <w:i w:val="0"/>
                <w:sz w:val="18"/>
              </w:rPr>
              <w:t>65.7</w:t>
            </w:r>
          </w:p>
        </w:tc>
        <w:tc>
          <w:tcPr>
            <w:tcW w:w="1987" w:type="dxa"/>
            <w:vAlign w:val="center"/>
          </w:tcPr>
          <w:p w14:paraId="5DC9DE9C">
            <w:pPr>
              <w:spacing w:after="0" w:line="240" w:lineRule="auto"/>
              <w:jc w:val="center"/>
            </w:pPr>
            <w:r>
              <w:rPr>
                <w:rFonts w:ascii="Times New Roman" w:hAnsi="Times New Roman" w:eastAsia="宋体"/>
                <w:b w:val="0"/>
                <w:i w:val="0"/>
                <w:sz w:val="18"/>
              </w:rPr>
              <w:t>13.31</w:t>
            </w:r>
          </w:p>
        </w:tc>
        <w:tc>
          <w:tcPr>
            <w:tcW w:w="1987" w:type="dxa"/>
            <w:vAlign w:val="center"/>
          </w:tcPr>
          <w:p w14:paraId="399F3382">
            <w:pPr>
              <w:spacing w:after="0" w:line="240" w:lineRule="auto"/>
              <w:jc w:val="center"/>
            </w:pPr>
            <w:r>
              <w:rPr>
                <w:rFonts w:ascii="Times New Roman" w:hAnsi="Times New Roman" w:eastAsia="宋体"/>
                <w:b w:val="0"/>
                <w:i w:val="0"/>
                <w:sz w:val="18"/>
              </w:rPr>
              <w:t>48.1</w:t>
            </w:r>
          </w:p>
        </w:tc>
      </w:tr>
      <w:tr w14:paraId="3718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01B1CA0">
            <w:pPr>
              <w:spacing w:after="0" w:line="240" w:lineRule="auto"/>
              <w:jc w:val="center"/>
            </w:pPr>
            <w:r>
              <w:rPr>
                <w:rFonts w:ascii="Times New Roman" w:hAnsi="Times New Roman" w:eastAsia="宋体"/>
                <w:b w:val="0"/>
                <w:i w:val="0"/>
                <w:sz w:val="18"/>
              </w:rPr>
              <w:t>DAFB-CLS</w:t>
            </w:r>
          </w:p>
        </w:tc>
        <w:tc>
          <w:tcPr>
            <w:tcW w:w="1987" w:type="dxa"/>
            <w:vAlign w:val="center"/>
          </w:tcPr>
          <w:p w14:paraId="3D137764">
            <w:pPr>
              <w:spacing w:after="0" w:line="240" w:lineRule="auto"/>
              <w:jc w:val="center"/>
            </w:pPr>
            <w:r>
              <w:rPr>
                <w:rFonts w:ascii="Times New Roman" w:hAnsi="Times New Roman" w:eastAsia="宋体"/>
                <w:b w:val="0"/>
                <w:i w:val="0"/>
                <w:sz w:val="18"/>
              </w:rPr>
              <w:t>DINO-S</w:t>
            </w:r>
          </w:p>
        </w:tc>
        <w:tc>
          <w:tcPr>
            <w:tcW w:w="1987" w:type="dxa"/>
            <w:vAlign w:val="center"/>
          </w:tcPr>
          <w:p w14:paraId="1CC351C3">
            <w:pPr>
              <w:spacing w:after="0" w:line="240" w:lineRule="auto"/>
              <w:jc w:val="center"/>
            </w:pPr>
            <w:r>
              <w:rPr>
                <w:rFonts w:ascii="Times New Roman" w:hAnsi="Times New Roman" w:eastAsia="宋体"/>
                <w:b w:val="0"/>
                <w:i w:val="0"/>
                <w:sz w:val="18"/>
              </w:rPr>
              <w:t>79.43</w:t>
            </w:r>
          </w:p>
        </w:tc>
        <w:tc>
          <w:tcPr>
            <w:tcW w:w="1987" w:type="dxa"/>
            <w:vAlign w:val="center"/>
          </w:tcPr>
          <w:p w14:paraId="0E2285B0">
            <w:pPr>
              <w:spacing w:after="0" w:line="240" w:lineRule="auto"/>
              <w:jc w:val="center"/>
            </w:pPr>
            <w:r>
              <w:rPr>
                <w:rFonts w:ascii="Times New Roman" w:hAnsi="Times New Roman" w:eastAsia="宋体"/>
                <w:b w:val="0"/>
                <w:i w:val="0"/>
                <w:sz w:val="18"/>
              </w:rPr>
              <w:t>31.27</w:t>
            </w:r>
          </w:p>
        </w:tc>
        <w:tc>
          <w:tcPr>
            <w:tcW w:w="1987" w:type="dxa"/>
            <w:vAlign w:val="center"/>
          </w:tcPr>
          <w:p w14:paraId="43A1F624">
            <w:pPr>
              <w:spacing w:after="0" w:line="240" w:lineRule="auto"/>
              <w:jc w:val="center"/>
            </w:pPr>
            <w:r>
              <w:rPr>
                <w:rFonts w:ascii="Times New Roman" w:hAnsi="Times New Roman" w:eastAsia="宋体"/>
                <w:b w:val="0"/>
                <w:i w:val="0"/>
                <w:sz w:val="18"/>
              </w:rPr>
              <w:t>45.07</w:t>
            </w:r>
          </w:p>
        </w:tc>
      </w:tr>
      <w:tr w14:paraId="4302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94CEEF4">
            <w:pPr>
              <w:spacing w:after="0" w:line="240" w:lineRule="auto"/>
              <w:jc w:val="center"/>
            </w:pPr>
            <w:r>
              <w:rPr>
                <w:rFonts w:ascii="Times New Roman" w:hAnsi="Times New Roman" w:eastAsia="宋体"/>
                <w:b w:val="0"/>
                <w:i w:val="0"/>
                <w:sz w:val="18"/>
              </w:rPr>
              <w:t>MaskCLIP</w:t>
            </w:r>
          </w:p>
        </w:tc>
        <w:tc>
          <w:tcPr>
            <w:tcW w:w="1987" w:type="dxa"/>
            <w:vAlign w:val="center"/>
          </w:tcPr>
          <w:p w14:paraId="1F9BF84E">
            <w:pPr>
              <w:spacing w:after="0" w:line="240" w:lineRule="auto"/>
              <w:jc w:val="center"/>
            </w:pPr>
            <w:r>
              <w:rPr>
                <w:rFonts w:ascii="Times New Roman" w:hAnsi="Times New Roman" w:eastAsia="宋体"/>
                <w:b w:val="0"/>
                <w:i w:val="0"/>
                <w:sz w:val="18"/>
              </w:rPr>
              <w:t>CLIP-B</w:t>
            </w:r>
          </w:p>
        </w:tc>
        <w:tc>
          <w:tcPr>
            <w:tcW w:w="1987" w:type="dxa"/>
            <w:vAlign w:val="center"/>
          </w:tcPr>
          <w:p w14:paraId="10BEFC8D">
            <w:pPr>
              <w:spacing w:after="0" w:line="240" w:lineRule="auto"/>
              <w:jc w:val="center"/>
            </w:pPr>
            <w:r>
              <w:rPr>
                <w:rFonts w:ascii="Times New Roman" w:hAnsi="Times New Roman" w:eastAsia="宋体"/>
                <w:b w:val="0"/>
                <w:i w:val="0"/>
                <w:sz w:val="18"/>
              </w:rPr>
              <w:t>74.88</w:t>
            </w:r>
          </w:p>
        </w:tc>
        <w:tc>
          <w:tcPr>
            <w:tcW w:w="1987" w:type="dxa"/>
            <w:vAlign w:val="center"/>
          </w:tcPr>
          <w:p w14:paraId="01CAF5AF">
            <w:pPr>
              <w:spacing w:after="0" w:line="240" w:lineRule="auto"/>
              <w:jc w:val="center"/>
            </w:pPr>
            <w:r>
              <w:rPr>
                <w:rFonts w:ascii="Times New Roman" w:hAnsi="Times New Roman" w:eastAsia="宋体"/>
                <w:b w:val="0"/>
                <w:i w:val="0"/>
                <w:sz w:val="18"/>
              </w:rPr>
              <w:t>4.07</w:t>
            </w:r>
          </w:p>
        </w:tc>
        <w:tc>
          <w:tcPr>
            <w:tcW w:w="1987" w:type="dxa"/>
            <w:vAlign w:val="center"/>
          </w:tcPr>
          <w:p w14:paraId="2E74197B">
            <w:pPr>
              <w:spacing w:after="0" w:line="240" w:lineRule="auto"/>
              <w:jc w:val="center"/>
            </w:pPr>
            <w:r>
              <w:rPr>
                <w:rFonts w:ascii="Times New Roman" w:hAnsi="Times New Roman" w:eastAsia="宋体"/>
                <w:b w:val="0"/>
                <w:i w:val="0"/>
                <w:sz w:val="18"/>
              </w:rPr>
              <w:t>39.68</w:t>
            </w:r>
          </w:p>
        </w:tc>
      </w:tr>
      <w:tr w14:paraId="170B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D587E95">
            <w:pPr>
              <w:spacing w:after="0" w:line="240" w:lineRule="auto"/>
              <w:jc w:val="center"/>
            </w:pPr>
            <w:r>
              <w:rPr>
                <w:rFonts w:ascii="Times New Roman" w:hAnsi="Times New Roman" w:eastAsia="宋体"/>
                <w:b w:val="0"/>
                <w:i w:val="0"/>
                <w:sz w:val="18"/>
              </w:rPr>
              <w:t>DAFB-CLS</w:t>
            </w:r>
          </w:p>
        </w:tc>
        <w:tc>
          <w:tcPr>
            <w:tcW w:w="1987" w:type="dxa"/>
            <w:vAlign w:val="center"/>
          </w:tcPr>
          <w:p w14:paraId="10C0F903">
            <w:pPr>
              <w:spacing w:after="0" w:line="240" w:lineRule="auto"/>
              <w:jc w:val="center"/>
            </w:pPr>
            <w:r>
              <w:rPr>
                <w:rFonts w:ascii="Times New Roman" w:hAnsi="Times New Roman" w:eastAsia="宋体"/>
                <w:b w:val="0"/>
                <w:i w:val="0"/>
                <w:sz w:val="18"/>
              </w:rPr>
              <w:t>CLIP-B</w:t>
            </w:r>
          </w:p>
        </w:tc>
        <w:tc>
          <w:tcPr>
            <w:tcW w:w="1987" w:type="dxa"/>
            <w:vAlign w:val="center"/>
          </w:tcPr>
          <w:p w14:paraId="0401FE37">
            <w:pPr>
              <w:spacing w:after="0" w:line="240" w:lineRule="auto"/>
              <w:jc w:val="center"/>
            </w:pPr>
            <w:r>
              <w:rPr>
                <w:rFonts w:ascii="Times New Roman" w:hAnsi="Times New Roman" w:eastAsia="宋体"/>
                <w:b w:val="0"/>
                <w:i w:val="0"/>
                <w:sz w:val="18"/>
              </w:rPr>
              <w:t>77.29</w:t>
            </w:r>
          </w:p>
        </w:tc>
        <w:tc>
          <w:tcPr>
            <w:tcW w:w="1987" w:type="dxa"/>
            <w:vAlign w:val="center"/>
          </w:tcPr>
          <w:p w14:paraId="1053BE7B">
            <w:pPr>
              <w:spacing w:after="0" w:line="240" w:lineRule="auto"/>
              <w:jc w:val="center"/>
            </w:pPr>
            <w:r>
              <w:rPr>
                <w:rFonts w:ascii="Times New Roman" w:hAnsi="Times New Roman" w:eastAsia="宋体"/>
                <w:b w:val="0"/>
                <w:i w:val="0"/>
                <w:sz w:val="18"/>
              </w:rPr>
              <w:t>33.32</w:t>
            </w:r>
          </w:p>
        </w:tc>
        <w:tc>
          <w:tcPr>
            <w:tcW w:w="1987" w:type="dxa"/>
            <w:vAlign w:val="center"/>
          </w:tcPr>
          <w:p w14:paraId="104C4F78">
            <w:pPr>
              <w:spacing w:after="0" w:line="240" w:lineRule="auto"/>
              <w:jc w:val="center"/>
            </w:pPr>
            <w:r>
              <w:rPr>
                <w:rFonts w:ascii="Times New Roman" w:hAnsi="Times New Roman" w:eastAsia="宋体"/>
                <w:b w:val="0"/>
                <w:i w:val="0"/>
                <w:sz w:val="18"/>
              </w:rPr>
              <w:t>79.64</w:t>
            </w:r>
          </w:p>
        </w:tc>
      </w:tr>
    </w:tbl>
    <w:p w14:paraId="2B97C871"/>
    <w:p w14:paraId="7659271A">
      <w:pPr>
        <w:spacing w:after="60" w:line="276" w:lineRule="auto"/>
        <w:ind w:firstLine="420"/>
      </w:pPr>
      <w:r>
        <w:rPr>
          <w:rFonts w:ascii="Times New Roman" w:hAnsi="Times New Roman" w:eastAsia="宋体"/>
          <w:b w:val="0"/>
          <w:i w:val="0"/>
          <w:sz w:val="21"/>
        </w:rPr>
        <w:t>DAFB-CLS 取得 79.43% 的 CorLoc，相比 LaSt-ViT 提升 13.7 个百分点，相比 TokenCut 提升 20.9 个百分点。Mask IoU 的提升更加明显：DAFB-CLS 达到 31.27%，而 LaSt-ViT 为 13.31%，提升 18.0 个百分点。这一超过两倍的 Mask IoU 增益，直接验证了自适应软掩码能够生成空间上更精确的前景区域，而固定 Top-K 或 NCut 二划分产生的掩码则较为粗糙。</w:t>
      </w:r>
    </w:p>
    <w:p w14:paraId="1F543CB2">
      <w:pPr>
        <w:spacing w:after="60" w:line="276" w:lineRule="auto"/>
        <w:ind w:firstLine="420"/>
      </w:pPr>
      <w:r>
        <w:rPr>
          <w:rFonts w:ascii="Times New Roman" w:hAnsi="Times New Roman" w:eastAsia="宋体"/>
          <w:b w:val="0"/>
          <w:i w:val="0"/>
          <w:sz w:val="21"/>
        </w:rPr>
        <w:t>在更强的 OpenCLIP ViT-B/16 骨干网络上，DAFB-CLS 达到 79.64% 的 PiB 和 33.32% 的 Mask IoU，显著超过 MaskCLIP，PiB 提升 40.0 个百分点，Mask IoU 提升 29.3 个百分点。值得注意的是，DAFB-CLS 不依赖任何文本监督，仅凭双 CLS 解耦机制就能提供足够的前景—背景判别能力。</w:t>
      </w:r>
    </w:p>
    <w:p w14:paraId="5E4828AD">
      <w:pPr>
        <w:spacing w:before="160" w:after="80"/>
      </w:pPr>
      <w:r>
        <w:rPr>
          <w:rFonts w:ascii="Times New Roman" w:hAnsi="Times New Roman" w:eastAsia="宋体"/>
          <w:b/>
          <w:i w:val="0"/>
          <w:sz w:val="24"/>
        </w:rPr>
        <w:t>COCO 2017 上的目标发现</w:t>
      </w:r>
    </w:p>
    <w:p w14:paraId="4950F227">
      <w:pPr>
        <w:spacing w:after="60" w:line="276" w:lineRule="auto"/>
        <w:ind w:firstLine="420"/>
      </w:pPr>
      <w:r>
        <w:rPr>
          <w:rFonts w:ascii="Times New Roman" w:hAnsi="Times New Roman" w:eastAsia="宋体"/>
          <w:b w:val="0"/>
          <w:i w:val="0"/>
          <w:sz w:val="21"/>
        </w:rPr>
        <w:t>为了评估跨数据集泛化能力，本文将仅在 VOC 上训练的模型直接用于 COCO，而不进行微调。表 II 给出了结果。</w:t>
      </w:r>
    </w:p>
    <w:p w14:paraId="46EE278E">
      <w:pPr>
        <w:spacing w:after="60" w:line="276" w:lineRule="auto"/>
        <w:jc w:val="center"/>
      </w:pPr>
      <w:r>
        <w:rPr>
          <w:rFonts w:ascii="Times New Roman" w:hAnsi="Times New Roman" w:eastAsia="宋体"/>
          <w:b/>
          <w:i w:val="0"/>
          <w:sz w:val="21"/>
        </w:rPr>
        <w:t>表 II. COCO 2017 目标发现结果（DINO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20DF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5F33FF92">
            <w:pPr>
              <w:spacing w:after="0" w:line="240" w:lineRule="auto"/>
              <w:jc w:val="center"/>
            </w:pPr>
            <w:r>
              <w:rPr>
                <w:rFonts w:ascii="Times New Roman" w:hAnsi="Times New Roman" w:eastAsia="宋体"/>
                <w:b/>
                <w:i w:val="0"/>
                <w:sz w:val="18"/>
              </w:rPr>
              <w:t>方法</w:t>
            </w:r>
          </w:p>
        </w:tc>
        <w:tc>
          <w:tcPr>
            <w:tcW w:w="1987" w:type="dxa"/>
            <w:shd w:val="clear" w:color="auto" w:fill="D9EAF7"/>
            <w:vAlign w:val="center"/>
          </w:tcPr>
          <w:p w14:paraId="0F3240CF">
            <w:pPr>
              <w:spacing w:after="0" w:line="240" w:lineRule="auto"/>
              <w:jc w:val="center"/>
            </w:pPr>
            <w:r>
              <w:rPr>
                <w:rFonts w:ascii="Times New Roman" w:hAnsi="Times New Roman" w:eastAsia="宋体"/>
                <w:b/>
                <w:i w:val="0"/>
                <w:sz w:val="18"/>
              </w:rPr>
              <w:t>骨干网络</w:t>
            </w:r>
          </w:p>
        </w:tc>
        <w:tc>
          <w:tcPr>
            <w:tcW w:w="1987" w:type="dxa"/>
            <w:shd w:val="clear" w:color="auto" w:fill="D9EAF7"/>
            <w:vAlign w:val="center"/>
          </w:tcPr>
          <w:p w14:paraId="38A9E5D1">
            <w:pPr>
              <w:spacing w:after="0" w:line="240" w:lineRule="auto"/>
              <w:jc w:val="center"/>
            </w:pPr>
            <w:r>
              <w:rPr>
                <w:rFonts w:ascii="Times New Roman" w:hAnsi="Times New Roman" w:eastAsia="宋体"/>
                <w:b/>
                <w:i w:val="0"/>
                <w:sz w:val="18"/>
              </w:rPr>
              <w:t>CorLoc ↑</w:t>
            </w:r>
          </w:p>
        </w:tc>
        <w:tc>
          <w:tcPr>
            <w:tcW w:w="1987" w:type="dxa"/>
            <w:shd w:val="clear" w:color="auto" w:fill="D9EAF7"/>
            <w:vAlign w:val="center"/>
          </w:tcPr>
          <w:p w14:paraId="7CD34DB8">
            <w:pPr>
              <w:spacing w:after="0" w:line="240" w:lineRule="auto"/>
              <w:jc w:val="center"/>
            </w:pPr>
            <w:r>
              <w:rPr>
                <w:rFonts w:ascii="Times New Roman" w:hAnsi="Times New Roman" w:eastAsia="宋体"/>
                <w:b/>
                <w:i w:val="0"/>
                <w:sz w:val="18"/>
              </w:rPr>
              <w:t>Mask IoU ↑</w:t>
            </w:r>
          </w:p>
        </w:tc>
        <w:tc>
          <w:tcPr>
            <w:tcW w:w="1987" w:type="dxa"/>
            <w:shd w:val="clear" w:color="auto" w:fill="D9EAF7"/>
            <w:vAlign w:val="center"/>
          </w:tcPr>
          <w:p w14:paraId="14100B26">
            <w:pPr>
              <w:spacing w:after="0" w:line="240" w:lineRule="auto"/>
              <w:jc w:val="center"/>
            </w:pPr>
            <w:r>
              <w:rPr>
                <w:rFonts w:ascii="Times New Roman" w:hAnsi="Times New Roman" w:eastAsia="宋体"/>
                <w:b/>
                <w:i w:val="0"/>
                <w:sz w:val="18"/>
              </w:rPr>
              <w:t>PiB ↑</w:t>
            </w:r>
          </w:p>
        </w:tc>
      </w:tr>
      <w:tr w14:paraId="71C6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2CF225E">
            <w:pPr>
              <w:spacing w:after="0" w:line="240" w:lineRule="auto"/>
              <w:jc w:val="center"/>
            </w:pPr>
            <w:r>
              <w:rPr>
                <w:rFonts w:ascii="Times New Roman" w:hAnsi="Times New Roman" w:eastAsia="宋体"/>
                <w:b w:val="0"/>
                <w:i w:val="0"/>
                <w:sz w:val="18"/>
              </w:rPr>
              <w:t>CAM</w:t>
            </w:r>
          </w:p>
        </w:tc>
        <w:tc>
          <w:tcPr>
            <w:tcW w:w="1987" w:type="dxa"/>
            <w:vAlign w:val="center"/>
          </w:tcPr>
          <w:p w14:paraId="16DDF292">
            <w:pPr>
              <w:spacing w:after="0" w:line="240" w:lineRule="auto"/>
              <w:jc w:val="center"/>
            </w:pPr>
            <w:r>
              <w:rPr>
                <w:rFonts w:ascii="Times New Roman" w:hAnsi="Times New Roman" w:eastAsia="宋体"/>
                <w:b w:val="0"/>
                <w:i w:val="0"/>
                <w:sz w:val="18"/>
              </w:rPr>
              <w:t>DINO-S</w:t>
            </w:r>
          </w:p>
        </w:tc>
        <w:tc>
          <w:tcPr>
            <w:tcW w:w="1987" w:type="dxa"/>
            <w:vAlign w:val="center"/>
          </w:tcPr>
          <w:p w14:paraId="1607B98E">
            <w:pPr>
              <w:spacing w:after="0" w:line="240" w:lineRule="auto"/>
              <w:jc w:val="center"/>
            </w:pPr>
            <w:r>
              <w:rPr>
                <w:rFonts w:ascii="Times New Roman" w:hAnsi="Times New Roman" w:eastAsia="宋体"/>
                <w:b w:val="0"/>
                <w:i w:val="0"/>
                <w:sz w:val="18"/>
              </w:rPr>
              <w:t>59.81</w:t>
            </w:r>
          </w:p>
        </w:tc>
        <w:tc>
          <w:tcPr>
            <w:tcW w:w="1987" w:type="dxa"/>
            <w:vAlign w:val="center"/>
          </w:tcPr>
          <w:p w14:paraId="27255A6A">
            <w:pPr>
              <w:spacing w:after="0" w:line="240" w:lineRule="auto"/>
              <w:jc w:val="center"/>
            </w:pPr>
            <w:r>
              <w:rPr>
                <w:rFonts w:ascii="Times New Roman" w:hAnsi="Times New Roman" w:eastAsia="宋体"/>
                <w:b w:val="0"/>
                <w:i w:val="0"/>
                <w:sz w:val="18"/>
              </w:rPr>
              <w:t>4.3</w:t>
            </w:r>
          </w:p>
        </w:tc>
        <w:tc>
          <w:tcPr>
            <w:tcW w:w="1987" w:type="dxa"/>
            <w:vAlign w:val="center"/>
          </w:tcPr>
          <w:p w14:paraId="66B55450">
            <w:pPr>
              <w:spacing w:after="0" w:line="240" w:lineRule="auto"/>
              <w:jc w:val="center"/>
            </w:pPr>
            <w:r>
              <w:rPr>
                <w:rFonts w:ascii="Times New Roman" w:hAnsi="Times New Roman" w:eastAsia="宋体"/>
                <w:b w:val="0"/>
                <w:i w:val="0"/>
                <w:sz w:val="18"/>
              </w:rPr>
              <w:t>24.96</w:t>
            </w:r>
          </w:p>
        </w:tc>
      </w:tr>
      <w:tr w14:paraId="5168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32A5241">
            <w:pPr>
              <w:spacing w:after="0" w:line="240" w:lineRule="auto"/>
              <w:jc w:val="center"/>
            </w:pPr>
            <w:r>
              <w:rPr>
                <w:rFonts w:ascii="Times New Roman" w:hAnsi="Times New Roman" w:eastAsia="宋体"/>
                <w:b w:val="0"/>
                <w:i w:val="0"/>
                <w:sz w:val="18"/>
              </w:rPr>
              <w:t>DINO-seg</w:t>
            </w:r>
          </w:p>
        </w:tc>
        <w:tc>
          <w:tcPr>
            <w:tcW w:w="1987" w:type="dxa"/>
            <w:vAlign w:val="center"/>
          </w:tcPr>
          <w:p w14:paraId="04BDD862">
            <w:pPr>
              <w:spacing w:after="0" w:line="240" w:lineRule="auto"/>
              <w:jc w:val="center"/>
            </w:pPr>
            <w:r>
              <w:rPr>
                <w:rFonts w:ascii="Times New Roman" w:hAnsi="Times New Roman" w:eastAsia="宋体"/>
                <w:b w:val="0"/>
                <w:i w:val="0"/>
                <w:sz w:val="18"/>
              </w:rPr>
              <w:t>DINO-S</w:t>
            </w:r>
          </w:p>
        </w:tc>
        <w:tc>
          <w:tcPr>
            <w:tcW w:w="1987" w:type="dxa"/>
            <w:vAlign w:val="center"/>
          </w:tcPr>
          <w:p w14:paraId="4A98970F">
            <w:pPr>
              <w:spacing w:after="0" w:line="240" w:lineRule="auto"/>
              <w:jc w:val="center"/>
            </w:pPr>
            <w:r>
              <w:rPr>
                <w:rFonts w:ascii="Times New Roman" w:hAnsi="Times New Roman" w:eastAsia="宋体"/>
                <w:b w:val="0"/>
                <w:i w:val="0"/>
                <w:sz w:val="18"/>
              </w:rPr>
              <w:t>67.23</w:t>
            </w:r>
          </w:p>
        </w:tc>
        <w:tc>
          <w:tcPr>
            <w:tcW w:w="1987" w:type="dxa"/>
            <w:vAlign w:val="center"/>
          </w:tcPr>
          <w:p w14:paraId="33A2C1DE">
            <w:pPr>
              <w:spacing w:after="0" w:line="240" w:lineRule="auto"/>
              <w:jc w:val="center"/>
            </w:pPr>
            <w:r>
              <w:rPr>
                <w:rFonts w:ascii="Times New Roman" w:hAnsi="Times New Roman" w:eastAsia="宋体"/>
                <w:b w:val="0"/>
                <w:i w:val="0"/>
                <w:sz w:val="18"/>
              </w:rPr>
              <w:t>9.24</w:t>
            </w:r>
          </w:p>
        </w:tc>
        <w:tc>
          <w:tcPr>
            <w:tcW w:w="1987" w:type="dxa"/>
            <w:vAlign w:val="center"/>
          </w:tcPr>
          <w:p w14:paraId="53B2C4F3">
            <w:pPr>
              <w:spacing w:after="0" w:line="240" w:lineRule="auto"/>
              <w:jc w:val="center"/>
            </w:pPr>
            <w:r>
              <w:rPr>
                <w:rFonts w:ascii="Times New Roman" w:hAnsi="Times New Roman" w:eastAsia="宋体"/>
                <w:b w:val="0"/>
                <w:i w:val="0"/>
                <w:sz w:val="18"/>
              </w:rPr>
              <w:t>29.0</w:t>
            </w:r>
          </w:p>
        </w:tc>
      </w:tr>
      <w:tr w14:paraId="26C7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3BE4550">
            <w:pPr>
              <w:spacing w:after="0" w:line="240" w:lineRule="auto"/>
              <w:jc w:val="center"/>
            </w:pPr>
            <w:r>
              <w:rPr>
                <w:rFonts w:ascii="Times New Roman" w:hAnsi="Times New Roman" w:eastAsia="宋体"/>
                <w:b w:val="0"/>
                <w:i w:val="0"/>
                <w:sz w:val="18"/>
              </w:rPr>
              <w:t>TokenCut</w:t>
            </w:r>
          </w:p>
        </w:tc>
        <w:tc>
          <w:tcPr>
            <w:tcW w:w="1987" w:type="dxa"/>
            <w:vAlign w:val="center"/>
          </w:tcPr>
          <w:p w14:paraId="70049504">
            <w:pPr>
              <w:spacing w:after="0" w:line="240" w:lineRule="auto"/>
              <w:jc w:val="center"/>
            </w:pPr>
            <w:r>
              <w:rPr>
                <w:rFonts w:ascii="Times New Roman" w:hAnsi="Times New Roman" w:eastAsia="宋体"/>
                <w:b w:val="0"/>
                <w:i w:val="0"/>
                <w:sz w:val="18"/>
              </w:rPr>
              <w:t>DINO-S</w:t>
            </w:r>
          </w:p>
        </w:tc>
        <w:tc>
          <w:tcPr>
            <w:tcW w:w="1987" w:type="dxa"/>
            <w:vAlign w:val="center"/>
          </w:tcPr>
          <w:p w14:paraId="0692E9E5">
            <w:pPr>
              <w:spacing w:after="0" w:line="240" w:lineRule="auto"/>
              <w:jc w:val="center"/>
            </w:pPr>
            <w:r>
              <w:rPr>
                <w:rFonts w:ascii="Times New Roman" w:hAnsi="Times New Roman" w:eastAsia="宋体"/>
                <w:b w:val="0"/>
                <w:i w:val="0"/>
                <w:sz w:val="18"/>
              </w:rPr>
              <w:t>54.75</w:t>
            </w:r>
          </w:p>
        </w:tc>
        <w:tc>
          <w:tcPr>
            <w:tcW w:w="1987" w:type="dxa"/>
            <w:vAlign w:val="center"/>
          </w:tcPr>
          <w:p w14:paraId="402DDA94">
            <w:pPr>
              <w:spacing w:after="0" w:line="240" w:lineRule="auto"/>
              <w:jc w:val="center"/>
            </w:pPr>
            <w:r>
              <w:rPr>
                <w:rFonts w:ascii="Times New Roman" w:hAnsi="Times New Roman" w:eastAsia="宋体"/>
                <w:b w:val="0"/>
                <w:i w:val="0"/>
                <w:sz w:val="18"/>
              </w:rPr>
              <w:t>6.77</w:t>
            </w:r>
          </w:p>
        </w:tc>
        <w:tc>
          <w:tcPr>
            <w:tcW w:w="1987" w:type="dxa"/>
            <w:vAlign w:val="center"/>
          </w:tcPr>
          <w:p w14:paraId="02B2799F">
            <w:pPr>
              <w:spacing w:after="0" w:line="240" w:lineRule="auto"/>
              <w:jc w:val="center"/>
            </w:pPr>
            <w:r>
              <w:rPr>
                <w:rFonts w:ascii="Times New Roman" w:hAnsi="Times New Roman" w:eastAsia="宋体"/>
                <w:b w:val="0"/>
                <w:i w:val="0"/>
                <w:sz w:val="18"/>
              </w:rPr>
              <w:t>31.97</w:t>
            </w:r>
          </w:p>
        </w:tc>
      </w:tr>
      <w:tr w14:paraId="174A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5C4A7FE">
            <w:pPr>
              <w:spacing w:after="0" w:line="240" w:lineRule="auto"/>
              <w:jc w:val="center"/>
            </w:pPr>
            <w:r>
              <w:rPr>
                <w:rFonts w:ascii="Times New Roman" w:hAnsi="Times New Roman" w:eastAsia="宋体"/>
                <w:b w:val="0"/>
                <w:i w:val="0"/>
                <w:sz w:val="18"/>
              </w:rPr>
              <w:t>LaSt-ViT</w:t>
            </w:r>
          </w:p>
        </w:tc>
        <w:tc>
          <w:tcPr>
            <w:tcW w:w="1987" w:type="dxa"/>
            <w:vAlign w:val="center"/>
          </w:tcPr>
          <w:p w14:paraId="336F09CE">
            <w:pPr>
              <w:spacing w:after="0" w:line="240" w:lineRule="auto"/>
              <w:jc w:val="center"/>
            </w:pPr>
            <w:r>
              <w:rPr>
                <w:rFonts w:ascii="Times New Roman" w:hAnsi="Times New Roman" w:eastAsia="宋体"/>
                <w:b w:val="0"/>
                <w:i w:val="0"/>
                <w:sz w:val="18"/>
              </w:rPr>
              <w:t>DINO-S</w:t>
            </w:r>
          </w:p>
        </w:tc>
        <w:tc>
          <w:tcPr>
            <w:tcW w:w="1987" w:type="dxa"/>
            <w:vAlign w:val="center"/>
          </w:tcPr>
          <w:p w14:paraId="2BD8CA37">
            <w:pPr>
              <w:spacing w:after="0" w:line="240" w:lineRule="auto"/>
              <w:jc w:val="center"/>
            </w:pPr>
            <w:r>
              <w:rPr>
                <w:rFonts w:ascii="Times New Roman" w:hAnsi="Times New Roman" w:eastAsia="宋体"/>
                <w:b w:val="0"/>
                <w:i w:val="0"/>
                <w:sz w:val="18"/>
              </w:rPr>
              <w:t>61.53</w:t>
            </w:r>
          </w:p>
        </w:tc>
        <w:tc>
          <w:tcPr>
            <w:tcW w:w="1987" w:type="dxa"/>
            <w:vAlign w:val="center"/>
          </w:tcPr>
          <w:p w14:paraId="692C6C9F">
            <w:pPr>
              <w:spacing w:after="0" w:line="240" w:lineRule="auto"/>
              <w:jc w:val="center"/>
            </w:pPr>
            <w:r>
              <w:rPr>
                <w:rFonts w:ascii="Times New Roman" w:hAnsi="Times New Roman" w:eastAsia="宋体"/>
                <w:b w:val="0"/>
                <w:i w:val="0"/>
                <w:sz w:val="18"/>
              </w:rPr>
              <w:t>12.95</w:t>
            </w:r>
          </w:p>
        </w:tc>
        <w:tc>
          <w:tcPr>
            <w:tcW w:w="1987" w:type="dxa"/>
            <w:vAlign w:val="center"/>
          </w:tcPr>
          <w:p w14:paraId="473BFAAD">
            <w:pPr>
              <w:spacing w:after="0" w:line="240" w:lineRule="auto"/>
              <w:jc w:val="center"/>
            </w:pPr>
            <w:r>
              <w:rPr>
                <w:rFonts w:ascii="Times New Roman" w:hAnsi="Times New Roman" w:eastAsia="宋体"/>
                <w:b w:val="0"/>
                <w:i w:val="0"/>
                <w:sz w:val="18"/>
              </w:rPr>
              <w:t>45.09</w:t>
            </w:r>
          </w:p>
        </w:tc>
      </w:tr>
      <w:tr w14:paraId="246B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5029FE8">
            <w:pPr>
              <w:spacing w:after="0" w:line="240" w:lineRule="auto"/>
              <w:jc w:val="center"/>
            </w:pPr>
            <w:r>
              <w:rPr>
                <w:rFonts w:ascii="Times New Roman" w:hAnsi="Times New Roman" w:eastAsia="宋体"/>
                <w:b w:val="0"/>
                <w:i w:val="0"/>
                <w:sz w:val="18"/>
              </w:rPr>
              <w:t>DAFB-CLS</w:t>
            </w:r>
          </w:p>
        </w:tc>
        <w:tc>
          <w:tcPr>
            <w:tcW w:w="1987" w:type="dxa"/>
            <w:vAlign w:val="center"/>
          </w:tcPr>
          <w:p w14:paraId="5858168B">
            <w:pPr>
              <w:spacing w:after="0" w:line="240" w:lineRule="auto"/>
              <w:jc w:val="center"/>
            </w:pPr>
            <w:r>
              <w:rPr>
                <w:rFonts w:ascii="Times New Roman" w:hAnsi="Times New Roman" w:eastAsia="宋体"/>
                <w:b w:val="0"/>
                <w:i w:val="0"/>
                <w:sz w:val="18"/>
              </w:rPr>
              <w:t>DINO-S</w:t>
            </w:r>
          </w:p>
        </w:tc>
        <w:tc>
          <w:tcPr>
            <w:tcW w:w="1987" w:type="dxa"/>
            <w:vAlign w:val="center"/>
          </w:tcPr>
          <w:p w14:paraId="26D77FE7">
            <w:pPr>
              <w:spacing w:after="0" w:line="240" w:lineRule="auto"/>
              <w:jc w:val="center"/>
            </w:pPr>
            <w:r>
              <w:rPr>
                <w:rFonts w:ascii="Times New Roman" w:hAnsi="Times New Roman" w:eastAsia="宋体"/>
                <w:b w:val="0"/>
                <w:i w:val="0"/>
                <w:sz w:val="18"/>
              </w:rPr>
              <w:t>72.96</w:t>
            </w:r>
          </w:p>
        </w:tc>
        <w:tc>
          <w:tcPr>
            <w:tcW w:w="1987" w:type="dxa"/>
            <w:vAlign w:val="center"/>
          </w:tcPr>
          <w:p w14:paraId="36E6D539">
            <w:pPr>
              <w:spacing w:after="0" w:line="240" w:lineRule="auto"/>
              <w:jc w:val="center"/>
            </w:pPr>
            <w:r>
              <w:rPr>
                <w:rFonts w:ascii="Times New Roman" w:hAnsi="Times New Roman" w:eastAsia="宋体"/>
                <w:b w:val="0"/>
                <w:i w:val="0"/>
                <w:sz w:val="18"/>
              </w:rPr>
              <w:t>28.73</w:t>
            </w:r>
          </w:p>
        </w:tc>
        <w:tc>
          <w:tcPr>
            <w:tcW w:w="1987" w:type="dxa"/>
            <w:vAlign w:val="center"/>
          </w:tcPr>
          <w:p w14:paraId="26196E5D">
            <w:pPr>
              <w:spacing w:after="0" w:line="240" w:lineRule="auto"/>
              <w:jc w:val="center"/>
            </w:pPr>
            <w:r>
              <w:rPr>
                <w:rFonts w:ascii="Times New Roman" w:hAnsi="Times New Roman" w:eastAsia="宋体"/>
                <w:b w:val="0"/>
                <w:i w:val="0"/>
                <w:sz w:val="18"/>
              </w:rPr>
              <w:t>35.44</w:t>
            </w:r>
          </w:p>
        </w:tc>
      </w:tr>
    </w:tbl>
    <w:p w14:paraId="717D2877"/>
    <w:p w14:paraId="72B2DD1B">
      <w:pPr>
        <w:spacing w:after="60" w:line="276" w:lineRule="auto"/>
        <w:ind w:firstLine="420"/>
        <w:rPr>
          <w:rFonts w:hint="eastAsia" w:ascii="Times New Roman" w:hAnsi="Times New Roman" w:eastAsia="宋体"/>
          <w:b w:val="0"/>
          <w:i w:val="0"/>
          <w:sz w:val="21"/>
        </w:rPr>
      </w:pPr>
      <w:r>
        <w:rPr>
          <w:rFonts w:hint="eastAsia" w:ascii="Times New Roman" w:hAnsi="Times New Roman" w:eastAsia="宋体"/>
          <w:b w:val="0"/>
          <w:i w:val="0"/>
          <w:sz w:val="21"/>
        </w:rPr>
        <w:t>DAFB-CLS 保持了稳定的性能提升：CorLoc 达到 72.96%（相比 LaSt-ViT 提升 11.4 个百分点，相比 TokenCut 提升 18.2 个百分点），Mask IoU 达到 28.73%（相比 LaSt-ViT 提升 15.8 个百分点）。跨数据集的 Mask IoU 提升幅度（+15.8 个百分点）与 VOC 数据集上的提升幅度（+18.0 个百分点）高度一致，表明自适应软掩码能够稳健地泛化到未见过的目标类别和场景中。需要说明的是，由于 OpenCLIP ViT-B/16 的训练成本显著更高，DAFB-CLS 采用 CLIP-B 主干网络时未在 COCO 数据集上进行评估，其训练开销约为 50 个 epoch 需要 28 小时，迭代速度为每秒 7.12 次；相比之下，DINO ViT-S/16 仅需约 4 小时。</w:t>
      </w:r>
      <w:bookmarkStart w:id="0" w:name="_GoBack"/>
      <w:bookmarkEnd w:id="0"/>
    </w:p>
    <w:p w14:paraId="7190D1F4">
      <w:pPr>
        <w:spacing w:after="60" w:line="276" w:lineRule="auto"/>
        <w:ind w:firstLine="420"/>
      </w:pPr>
    </w:p>
    <w:p w14:paraId="74124500">
      <w:pPr>
        <w:spacing w:before="160" w:after="80"/>
      </w:pPr>
      <w:r>
        <w:rPr>
          <w:rFonts w:ascii="Times New Roman" w:hAnsi="Times New Roman" w:eastAsia="宋体"/>
          <w:b/>
          <w:i w:val="0"/>
          <w:sz w:val="24"/>
        </w:rPr>
        <w:t>开放词汇分割</w:t>
      </w:r>
    </w:p>
    <w:p w14:paraId="032E1C2D">
      <w:pPr>
        <w:spacing w:after="60" w:line="276" w:lineRule="auto"/>
        <w:ind w:firstLine="420"/>
      </w:pPr>
      <w:r>
        <w:rPr>
          <w:rFonts w:ascii="Times New Roman" w:hAnsi="Times New Roman" w:eastAsia="宋体"/>
          <w:b w:val="0"/>
          <w:i w:val="0"/>
          <w:sz w:val="21"/>
        </w:rPr>
        <w:t>本文进一步将 DAFB-CLS 作为 OpenCLIP ViT-B/16 上的分割头进行评估。表 III 报告了 VOC 2012 分割任务上的 mIoU。DAFB-CLS 取得 61.70% 的 mIoU，相比 MaskCLIP 基线提升 2.7 个百分点。背景类 IoU 达到 89.2%，多个前景类别也受益于双 CLS 解耦机制。</w:t>
      </w:r>
    </w:p>
    <w:p w14:paraId="635973AD">
      <w:pPr>
        <w:spacing w:after="60" w:line="276" w:lineRule="auto"/>
        <w:jc w:val="center"/>
      </w:pPr>
      <w:r>
        <w:rPr>
          <w:rFonts w:ascii="Times New Roman" w:hAnsi="Times New Roman" w:eastAsia="宋体"/>
          <w:b/>
          <w:i w:val="0"/>
          <w:sz w:val="21"/>
        </w:rPr>
        <w:t>表 III. VOC 2012 开放词汇分割结果（OpenCLIP ViT-B/16）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FBF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6" w:type="dxa"/>
            <w:shd w:val="clear" w:color="auto" w:fill="D9EAF7"/>
            <w:vAlign w:val="center"/>
          </w:tcPr>
          <w:p w14:paraId="40D8132A">
            <w:pPr>
              <w:spacing w:after="0" w:line="240" w:lineRule="auto"/>
              <w:jc w:val="center"/>
            </w:pPr>
            <w:r>
              <w:rPr>
                <w:rFonts w:ascii="Times New Roman" w:hAnsi="Times New Roman" w:eastAsia="宋体"/>
                <w:b/>
                <w:i w:val="0"/>
                <w:sz w:val="18"/>
              </w:rPr>
              <w:t>方法</w:t>
            </w:r>
          </w:p>
        </w:tc>
        <w:tc>
          <w:tcPr>
            <w:tcW w:w="1656" w:type="dxa"/>
            <w:shd w:val="clear" w:color="auto" w:fill="D9EAF7"/>
            <w:vAlign w:val="center"/>
          </w:tcPr>
          <w:p w14:paraId="6C848454">
            <w:pPr>
              <w:spacing w:after="0" w:line="240" w:lineRule="auto"/>
              <w:jc w:val="center"/>
            </w:pPr>
            <w:r>
              <w:rPr>
                <w:rFonts w:ascii="Times New Roman" w:hAnsi="Times New Roman" w:eastAsia="宋体"/>
                <w:b/>
                <w:i w:val="0"/>
                <w:sz w:val="18"/>
              </w:rPr>
              <w:t>骨干网络</w:t>
            </w:r>
          </w:p>
        </w:tc>
        <w:tc>
          <w:tcPr>
            <w:tcW w:w="1656" w:type="dxa"/>
            <w:shd w:val="clear" w:color="auto" w:fill="D9EAF7"/>
            <w:vAlign w:val="center"/>
          </w:tcPr>
          <w:p w14:paraId="415777D7">
            <w:pPr>
              <w:spacing w:after="0" w:line="240" w:lineRule="auto"/>
              <w:jc w:val="center"/>
            </w:pPr>
            <w:r>
              <w:rPr>
                <w:rFonts w:ascii="Times New Roman" w:hAnsi="Times New Roman" w:eastAsia="宋体"/>
                <w:b/>
                <w:i w:val="0"/>
                <w:sz w:val="18"/>
              </w:rPr>
              <w:t>mIoU ↑</w:t>
            </w:r>
          </w:p>
        </w:tc>
        <w:tc>
          <w:tcPr>
            <w:tcW w:w="1656" w:type="dxa"/>
            <w:shd w:val="clear" w:color="auto" w:fill="D9EAF7"/>
            <w:vAlign w:val="center"/>
          </w:tcPr>
          <w:p w14:paraId="052996B6">
            <w:pPr>
              <w:spacing w:after="0" w:line="240" w:lineRule="auto"/>
              <w:jc w:val="center"/>
            </w:pPr>
            <w:r>
              <w:rPr>
                <w:rFonts w:ascii="Times New Roman" w:hAnsi="Times New Roman" w:eastAsia="宋体"/>
                <w:b/>
                <w:i w:val="0"/>
                <w:sz w:val="18"/>
              </w:rPr>
              <w:t>CorLoc ↑</w:t>
            </w:r>
          </w:p>
        </w:tc>
        <w:tc>
          <w:tcPr>
            <w:tcW w:w="1656" w:type="dxa"/>
            <w:shd w:val="clear" w:color="auto" w:fill="D9EAF7"/>
            <w:vAlign w:val="center"/>
          </w:tcPr>
          <w:p w14:paraId="6671BE6A">
            <w:pPr>
              <w:spacing w:after="0" w:line="240" w:lineRule="auto"/>
              <w:jc w:val="center"/>
            </w:pPr>
            <w:r>
              <w:rPr>
                <w:rFonts w:ascii="Times New Roman" w:hAnsi="Times New Roman" w:eastAsia="宋体"/>
                <w:b/>
                <w:i w:val="0"/>
                <w:sz w:val="18"/>
              </w:rPr>
              <w:t>Mask IoU ↑</w:t>
            </w:r>
          </w:p>
        </w:tc>
        <w:tc>
          <w:tcPr>
            <w:tcW w:w="1656" w:type="dxa"/>
            <w:shd w:val="clear" w:color="auto" w:fill="D9EAF7"/>
            <w:vAlign w:val="center"/>
          </w:tcPr>
          <w:p w14:paraId="7A7D659C">
            <w:pPr>
              <w:spacing w:after="0" w:line="240" w:lineRule="auto"/>
              <w:jc w:val="center"/>
            </w:pPr>
            <w:r>
              <w:rPr>
                <w:rFonts w:ascii="Times New Roman" w:hAnsi="Times New Roman" w:eastAsia="宋体"/>
                <w:b/>
                <w:i w:val="0"/>
                <w:sz w:val="18"/>
              </w:rPr>
              <w:t>PiB ↑</w:t>
            </w:r>
          </w:p>
        </w:tc>
      </w:tr>
      <w:tr w14:paraId="189B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12AF980E">
            <w:pPr>
              <w:spacing w:after="0" w:line="240" w:lineRule="auto"/>
              <w:jc w:val="center"/>
            </w:pPr>
            <w:r>
              <w:rPr>
                <w:rFonts w:ascii="Times New Roman" w:hAnsi="Times New Roman" w:eastAsia="宋体"/>
                <w:b w:val="0"/>
                <w:i w:val="0"/>
                <w:sz w:val="18"/>
              </w:rPr>
              <w:t>MaskCLIP</w:t>
            </w:r>
          </w:p>
        </w:tc>
        <w:tc>
          <w:tcPr>
            <w:tcW w:w="1656" w:type="dxa"/>
            <w:vAlign w:val="center"/>
          </w:tcPr>
          <w:p w14:paraId="50DE5C1E">
            <w:pPr>
              <w:spacing w:after="0" w:line="240" w:lineRule="auto"/>
              <w:jc w:val="center"/>
            </w:pPr>
            <w:r>
              <w:rPr>
                <w:rFonts w:ascii="Times New Roman" w:hAnsi="Times New Roman" w:eastAsia="宋体"/>
                <w:b w:val="0"/>
                <w:i w:val="0"/>
                <w:sz w:val="18"/>
              </w:rPr>
              <w:t>CLIP-B</w:t>
            </w:r>
          </w:p>
        </w:tc>
        <w:tc>
          <w:tcPr>
            <w:tcW w:w="1656" w:type="dxa"/>
            <w:vAlign w:val="center"/>
          </w:tcPr>
          <w:p w14:paraId="2BBBC362">
            <w:pPr>
              <w:spacing w:after="0" w:line="240" w:lineRule="auto"/>
              <w:jc w:val="center"/>
            </w:pPr>
            <w:r>
              <w:rPr>
                <w:rFonts w:ascii="Times New Roman" w:hAnsi="Times New Roman" w:eastAsia="宋体"/>
                <w:b w:val="0"/>
                <w:i w:val="0"/>
                <w:sz w:val="18"/>
              </w:rPr>
              <w:t>59.02</w:t>
            </w:r>
          </w:p>
        </w:tc>
        <w:tc>
          <w:tcPr>
            <w:tcW w:w="1656" w:type="dxa"/>
            <w:vAlign w:val="center"/>
          </w:tcPr>
          <w:p w14:paraId="19789DEB">
            <w:pPr>
              <w:spacing w:after="0" w:line="240" w:lineRule="auto"/>
              <w:jc w:val="center"/>
            </w:pPr>
            <w:r>
              <w:rPr>
                <w:rFonts w:ascii="Times New Roman" w:hAnsi="Times New Roman" w:eastAsia="宋体"/>
                <w:b w:val="0"/>
                <w:i w:val="0"/>
                <w:sz w:val="18"/>
              </w:rPr>
              <w:t>74.88</w:t>
            </w:r>
          </w:p>
        </w:tc>
        <w:tc>
          <w:tcPr>
            <w:tcW w:w="1656" w:type="dxa"/>
            <w:vAlign w:val="center"/>
          </w:tcPr>
          <w:p w14:paraId="1C81045D">
            <w:pPr>
              <w:spacing w:after="0" w:line="240" w:lineRule="auto"/>
              <w:jc w:val="center"/>
            </w:pPr>
            <w:r>
              <w:rPr>
                <w:rFonts w:ascii="Times New Roman" w:hAnsi="Times New Roman" w:eastAsia="宋体"/>
                <w:b w:val="0"/>
                <w:i w:val="0"/>
                <w:sz w:val="18"/>
              </w:rPr>
              <w:t>4.07</w:t>
            </w:r>
          </w:p>
        </w:tc>
        <w:tc>
          <w:tcPr>
            <w:tcW w:w="1656" w:type="dxa"/>
            <w:vAlign w:val="center"/>
          </w:tcPr>
          <w:p w14:paraId="5D20E11C">
            <w:pPr>
              <w:spacing w:after="0" w:line="240" w:lineRule="auto"/>
              <w:jc w:val="center"/>
            </w:pPr>
            <w:r>
              <w:rPr>
                <w:rFonts w:ascii="Times New Roman" w:hAnsi="Times New Roman" w:eastAsia="宋体"/>
                <w:b w:val="0"/>
                <w:i w:val="0"/>
                <w:sz w:val="18"/>
              </w:rPr>
              <w:t>39.68</w:t>
            </w:r>
          </w:p>
        </w:tc>
      </w:tr>
      <w:tr w14:paraId="2937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2121167">
            <w:pPr>
              <w:spacing w:after="0" w:line="240" w:lineRule="auto"/>
              <w:jc w:val="center"/>
            </w:pPr>
            <w:r>
              <w:rPr>
                <w:rFonts w:ascii="Times New Roman" w:hAnsi="Times New Roman" w:eastAsia="宋体"/>
                <w:b w:val="0"/>
                <w:i w:val="0"/>
                <w:sz w:val="18"/>
              </w:rPr>
              <w:t>DAFB-CLS</w:t>
            </w:r>
          </w:p>
        </w:tc>
        <w:tc>
          <w:tcPr>
            <w:tcW w:w="1656" w:type="dxa"/>
            <w:vAlign w:val="center"/>
          </w:tcPr>
          <w:p w14:paraId="232D2141">
            <w:pPr>
              <w:spacing w:after="0" w:line="240" w:lineRule="auto"/>
              <w:jc w:val="center"/>
            </w:pPr>
            <w:r>
              <w:rPr>
                <w:rFonts w:ascii="Times New Roman" w:hAnsi="Times New Roman" w:eastAsia="宋体"/>
                <w:b w:val="0"/>
                <w:i w:val="0"/>
                <w:sz w:val="18"/>
              </w:rPr>
              <w:t>CLIP-B</w:t>
            </w:r>
          </w:p>
        </w:tc>
        <w:tc>
          <w:tcPr>
            <w:tcW w:w="1656" w:type="dxa"/>
            <w:vAlign w:val="center"/>
          </w:tcPr>
          <w:p w14:paraId="620D71D8">
            <w:pPr>
              <w:spacing w:after="0" w:line="240" w:lineRule="auto"/>
              <w:jc w:val="center"/>
            </w:pPr>
            <w:r>
              <w:rPr>
                <w:rFonts w:ascii="Times New Roman" w:hAnsi="Times New Roman" w:eastAsia="宋体"/>
                <w:b w:val="0"/>
                <w:i w:val="0"/>
                <w:sz w:val="18"/>
              </w:rPr>
              <w:t>61.70</w:t>
            </w:r>
          </w:p>
        </w:tc>
        <w:tc>
          <w:tcPr>
            <w:tcW w:w="1656" w:type="dxa"/>
            <w:vAlign w:val="center"/>
          </w:tcPr>
          <w:p w14:paraId="685AC179">
            <w:pPr>
              <w:spacing w:after="0" w:line="240" w:lineRule="auto"/>
              <w:jc w:val="center"/>
            </w:pPr>
            <w:r>
              <w:rPr>
                <w:rFonts w:ascii="Times New Roman" w:hAnsi="Times New Roman" w:eastAsia="宋体"/>
                <w:b w:val="0"/>
                <w:i w:val="0"/>
                <w:sz w:val="18"/>
              </w:rPr>
              <w:t>77.29</w:t>
            </w:r>
          </w:p>
        </w:tc>
        <w:tc>
          <w:tcPr>
            <w:tcW w:w="1656" w:type="dxa"/>
            <w:vAlign w:val="center"/>
          </w:tcPr>
          <w:p w14:paraId="7EF57CF1">
            <w:pPr>
              <w:spacing w:after="0" w:line="240" w:lineRule="auto"/>
              <w:jc w:val="center"/>
            </w:pPr>
            <w:r>
              <w:rPr>
                <w:rFonts w:ascii="Times New Roman" w:hAnsi="Times New Roman" w:eastAsia="宋体"/>
                <w:b w:val="0"/>
                <w:i w:val="0"/>
                <w:sz w:val="18"/>
              </w:rPr>
              <w:t>33.32</w:t>
            </w:r>
          </w:p>
        </w:tc>
        <w:tc>
          <w:tcPr>
            <w:tcW w:w="1656" w:type="dxa"/>
            <w:vAlign w:val="center"/>
          </w:tcPr>
          <w:p w14:paraId="540BF6A5">
            <w:pPr>
              <w:spacing w:after="0" w:line="240" w:lineRule="auto"/>
              <w:jc w:val="center"/>
            </w:pPr>
            <w:r>
              <w:rPr>
                <w:rFonts w:ascii="Times New Roman" w:hAnsi="Times New Roman" w:eastAsia="宋体"/>
                <w:b w:val="0"/>
                <w:i w:val="0"/>
                <w:sz w:val="18"/>
              </w:rPr>
              <w:t>79.64</w:t>
            </w:r>
          </w:p>
        </w:tc>
      </w:tr>
    </w:tbl>
    <w:p w14:paraId="679223AB"/>
    <w:p w14:paraId="74696252">
      <w:pPr>
        <w:spacing w:before="160" w:after="80"/>
      </w:pPr>
      <w:r>
        <w:rPr>
          <w:rFonts w:ascii="Times New Roman" w:hAnsi="Times New Roman" w:eastAsia="宋体"/>
          <w:b/>
          <w:i w:val="0"/>
          <w:sz w:val="24"/>
        </w:rPr>
        <w:t>跨数据集一致性</w:t>
      </w:r>
    </w:p>
    <w:p w14:paraId="5C376730">
      <w:pPr>
        <w:spacing w:after="60" w:line="276" w:lineRule="auto"/>
        <w:ind w:firstLine="420"/>
      </w:pPr>
      <w:r>
        <w:rPr>
          <w:rFonts w:ascii="Times New Roman" w:hAnsi="Times New Roman" w:eastAsia="宋体"/>
          <w:b w:val="0"/>
          <w:i w:val="0"/>
          <w:sz w:val="21"/>
        </w:rPr>
        <w:t>表 IV 总结了 DAFB-CLS 相比各设置中最强聚合基线的提升。CorLoc 在 DINO 设置中提升 11.4—13.7 个百分点，在 CLIP 设置中提升 2.4 个百分点，后者是因为 MaskCLIP 基线本身已达到 74.88%。Mask IoU 在所有比较中均提升 15.8—29.2 个百分点，是最稳定且最显著的提升。</w:t>
      </w:r>
    </w:p>
    <w:p w14:paraId="2BC0BF14">
      <w:pPr>
        <w:spacing w:after="60" w:line="276" w:lineRule="auto"/>
        <w:jc w:val="center"/>
      </w:pPr>
      <w:r>
        <w:rPr>
          <w:rFonts w:ascii="Times New Roman" w:hAnsi="Times New Roman" w:eastAsia="宋体"/>
          <w:b/>
          <w:i w:val="0"/>
          <w:sz w:val="21"/>
        </w:rPr>
        <w:t>表 IV. 跨数据集与跨骨干网络一致性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4F86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3240DE7F">
            <w:pPr>
              <w:spacing w:after="0" w:line="240" w:lineRule="auto"/>
              <w:jc w:val="center"/>
            </w:pPr>
            <w:r>
              <w:rPr>
                <w:rFonts w:ascii="Times New Roman" w:hAnsi="Times New Roman" w:eastAsia="宋体"/>
                <w:b/>
                <w:i w:val="0"/>
                <w:sz w:val="18"/>
              </w:rPr>
              <w:t>设置</w:t>
            </w:r>
          </w:p>
        </w:tc>
        <w:tc>
          <w:tcPr>
            <w:tcW w:w="1987" w:type="dxa"/>
            <w:shd w:val="clear" w:color="auto" w:fill="D9EAF7"/>
            <w:vAlign w:val="center"/>
          </w:tcPr>
          <w:p w14:paraId="61F5EADA">
            <w:pPr>
              <w:spacing w:after="0" w:line="240" w:lineRule="auto"/>
              <w:jc w:val="center"/>
            </w:pPr>
            <w:r>
              <w:rPr>
                <w:rFonts w:ascii="Times New Roman" w:hAnsi="Times New Roman" w:eastAsia="宋体"/>
                <w:b/>
                <w:i w:val="0"/>
                <w:sz w:val="18"/>
              </w:rPr>
              <w:t>骨干网络</w:t>
            </w:r>
          </w:p>
        </w:tc>
        <w:tc>
          <w:tcPr>
            <w:tcW w:w="1987" w:type="dxa"/>
            <w:shd w:val="clear" w:color="auto" w:fill="D9EAF7"/>
            <w:vAlign w:val="center"/>
          </w:tcPr>
          <w:p w14:paraId="45CA3A85">
            <w:pPr>
              <w:spacing w:after="0" w:line="240" w:lineRule="auto"/>
              <w:jc w:val="center"/>
            </w:pPr>
            <w:r>
              <w:rPr>
                <w:rFonts w:ascii="Times New Roman" w:hAnsi="Times New Roman" w:eastAsia="宋体"/>
                <w:b/>
                <w:i w:val="0"/>
                <w:sz w:val="18"/>
              </w:rPr>
              <w:t>数据集</w:t>
            </w:r>
          </w:p>
        </w:tc>
        <w:tc>
          <w:tcPr>
            <w:tcW w:w="1987" w:type="dxa"/>
            <w:shd w:val="clear" w:color="auto" w:fill="D9EAF7"/>
            <w:vAlign w:val="center"/>
          </w:tcPr>
          <w:p w14:paraId="490E75EE">
            <w:pPr>
              <w:spacing w:after="0" w:line="240" w:lineRule="auto"/>
              <w:jc w:val="center"/>
            </w:pPr>
            <w:r>
              <w:rPr>
                <w:rFonts w:ascii="Times New Roman" w:hAnsi="Times New Roman" w:eastAsia="宋体"/>
                <w:b/>
                <w:i w:val="0"/>
                <w:sz w:val="18"/>
              </w:rPr>
              <w:t>Δ CorLoc（百分点）</w:t>
            </w:r>
          </w:p>
        </w:tc>
        <w:tc>
          <w:tcPr>
            <w:tcW w:w="1987" w:type="dxa"/>
            <w:shd w:val="clear" w:color="auto" w:fill="D9EAF7"/>
            <w:vAlign w:val="center"/>
          </w:tcPr>
          <w:p w14:paraId="07F22527">
            <w:pPr>
              <w:spacing w:after="0" w:line="240" w:lineRule="auto"/>
              <w:jc w:val="center"/>
            </w:pPr>
            <w:r>
              <w:rPr>
                <w:rFonts w:ascii="Times New Roman" w:hAnsi="Times New Roman" w:eastAsia="宋体"/>
                <w:b/>
                <w:i w:val="0"/>
                <w:sz w:val="18"/>
              </w:rPr>
              <w:t>Δ Mask IoU（百分点）</w:t>
            </w:r>
          </w:p>
        </w:tc>
      </w:tr>
      <w:tr w14:paraId="7AC8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E5CA803">
            <w:pPr>
              <w:spacing w:after="0" w:line="240" w:lineRule="auto"/>
              <w:jc w:val="center"/>
            </w:pPr>
            <w:r>
              <w:rPr>
                <w:rFonts w:ascii="Times New Roman" w:hAnsi="Times New Roman" w:eastAsia="宋体"/>
                <w:b w:val="0"/>
                <w:i w:val="0"/>
                <w:sz w:val="18"/>
              </w:rPr>
              <w:t>目标发现</w:t>
            </w:r>
          </w:p>
        </w:tc>
        <w:tc>
          <w:tcPr>
            <w:tcW w:w="1987" w:type="dxa"/>
            <w:vAlign w:val="center"/>
          </w:tcPr>
          <w:p w14:paraId="710FA918">
            <w:pPr>
              <w:spacing w:after="0" w:line="240" w:lineRule="auto"/>
              <w:jc w:val="center"/>
            </w:pPr>
            <w:r>
              <w:rPr>
                <w:rFonts w:ascii="Times New Roman" w:hAnsi="Times New Roman" w:eastAsia="宋体"/>
                <w:b w:val="0"/>
                <w:i w:val="0"/>
                <w:sz w:val="18"/>
              </w:rPr>
              <w:t>DINO-S</w:t>
            </w:r>
          </w:p>
        </w:tc>
        <w:tc>
          <w:tcPr>
            <w:tcW w:w="1987" w:type="dxa"/>
            <w:vAlign w:val="center"/>
          </w:tcPr>
          <w:p w14:paraId="02A54CA2">
            <w:pPr>
              <w:spacing w:after="0" w:line="240" w:lineRule="auto"/>
              <w:jc w:val="center"/>
            </w:pPr>
            <w:r>
              <w:rPr>
                <w:rFonts w:ascii="Times New Roman" w:hAnsi="Times New Roman" w:eastAsia="宋体"/>
                <w:b w:val="0"/>
                <w:i w:val="0"/>
                <w:sz w:val="18"/>
              </w:rPr>
              <w:t>VOC</w:t>
            </w:r>
          </w:p>
        </w:tc>
        <w:tc>
          <w:tcPr>
            <w:tcW w:w="1987" w:type="dxa"/>
            <w:vAlign w:val="center"/>
          </w:tcPr>
          <w:p w14:paraId="2739C706">
            <w:pPr>
              <w:spacing w:after="0" w:line="240" w:lineRule="auto"/>
              <w:jc w:val="center"/>
            </w:pPr>
            <w:r>
              <w:rPr>
                <w:rFonts w:ascii="Times New Roman" w:hAnsi="Times New Roman" w:eastAsia="宋体"/>
                <w:b w:val="0"/>
                <w:i w:val="0"/>
                <w:sz w:val="18"/>
              </w:rPr>
              <w:t>+13.7</w:t>
            </w:r>
          </w:p>
        </w:tc>
        <w:tc>
          <w:tcPr>
            <w:tcW w:w="1987" w:type="dxa"/>
            <w:vAlign w:val="center"/>
          </w:tcPr>
          <w:p w14:paraId="760C8E5F">
            <w:pPr>
              <w:spacing w:after="0" w:line="240" w:lineRule="auto"/>
              <w:jc w:val="center"/>
            </w:pPr>
            <w:r>
              <w:rPr>
                <w:rFonts w:ascii="Times New Roman" w:hAnsi="Times New Roman" w:eastAsia="宋体"/>
                <w:b w:val="0"/>
                <w:i w:val="0"/>
                <w:sz w:val="18"/>
              </w:rPr>
              <w:t>+18.0</w:t>
            </w:r>
          </w:p>
        </w:tc>
      </w:tr>
      <w:tr w14:paraId="1D91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AE75CCD">
            <w:pPr>
              <w:spacing w:after="0" w:line="240" w:lineRule="auto"/>
              <w:jc w:val="center"/>
            </w:pPr>
            <w:r>
              <w:rPr>
                <w:rFonts w:ascii="Times New Roman" w:hAnsi="Times New Roman" w:eastAsia="宋体"/>
                <w:b w:val="0"/>
                <w:i w:val="0"/>
                <w:sz w:val="18"/>
              </w:rPr>
              <w:t>目标发现</w:t>
            </w:r>
          </w:p>
        </w:tc>
        <w:tc>
          <w:tcPr>
            <w:tcW w:w="1987" w:type="dxa"/>
            <w:vAlign w:val="center"/>
          </w:tcPr>
          <w:p w14:paraId="4792EAE0">
            <w:pPr>
              <w:spacing w:after="0" w:line="240" w:lineRule="auto"/>
              <w:jc w:val="center"/>
            </w:pPr>
            <w:r>
              <w:rPr>
                <w:rFonts w:ascii="Times New Roman" w:hAnsi="Times New Roman" w:eastAsia="宋体"/>
                <w:b w:val="0"/>
                <w:i w:val="0"/>
                <w:sz w:val="18"/>
              </w:rPr>
              <w:t>DINO-S</w:t>
            </w:r>
          </w:p>
        </w:tc>
        <w:tc>
          <w:tcPr>
            <w:tcW w:w="1987" w:type="dxa"/>
            <w:vAlign w:val="center"/>
          </w:tcPr>
          <w:p w14:paraId="3AA6ED34">
            <w:pPr>
              <w:spacing w:after="0" w:line="240" w:lineRule="auto"/>
              <w:jc w:val="center"/>
            </w:pPr>
            <w:r>
              <w:rPr>
                <w:rFonts w:ascii="Times New Roman" w:hAnsi="Times New Roman" w:eastAsia="宋体"/>
                <w:b w:val="0"/>
                <w:i w:val="0"/>
                <w:sz w:val="18"/>
              </w:rPr>
              <w:t>COCO</w:t>
            </w:r>
          </w:p>
        </w:tc>
        <w:tc>
          <w:tcPr>
            <w:tcW w:w="1987" w:type="dxa"/>
            <w:vAlign w:val="center"/>
          </w:tcPr>
          <w:p w14:paraId="065EFDBA">
            <w:pPr>
              <w:spacing w:after="0" w:line="240" w:lineRule="auto"/>
              <w:jc w:val="center"/>
            </w:pPr>
            <w:r>
              <w:rPr>
                <w:rFonts w:ascii="Times New Roman" w:hAnsi="Times New Roman" w:eastAsia="宋体"/>
                <w:b w:val="0"/>
                <w:i w:val="0"/>
                <w:sz w:val="18"/>
              </w:rPr>
              <w:t>+11.4</w:t>
            </w:r>
          </w:p>
        </w:tc>
        <w:tc>
          <w:tcPr>
            <w:tcW w:w="1987" w:type="dxa"/>
            <w:vAlign w:val="center"/>
          </w:tcPr>
          <w:p w14:paraId="4CDB971C">
            <w:pPr>
              <w:spacing w:after="0" w:line="240" w:lineRule="auto"/>
              <w:jc w:val="center"/>
            </w:pPr>
            <w:r>
              <w:rPr>
                <w:rFonts w:ascii="Times New Roman" w:hAnsi="Times New Roman" w:eastAsia="宋体"/>
                <w:b w:val="0"/>
                <w:i w:val="0"/>
                <w:sz w:val="18"/>
              </w:rPr>
              <w:t>+15.8</w:t>
            </w:r>
          </w:p>
        </w:tc>
      </w:tr>
      <w:tr w14:paraId="06F2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F08F11F">
            <w:pPr>
              <w:spacing w:after="0" w:line="240" w:lineRule="auto"/>
              <w:jc w:val="center"/>
            </w:pPr>
            <w:r>
              <w:rPr>
                <w:rFonts w:ascii="Times New Roman" w:hAnsi="Times New Roman" w:eastAsia="宋体"/>
                <w:b w:val="0"/>
                <w:i w:val="0"/>
                <w:sz w:val="18"/>
              </w:rPr>
              <w:t>分割</w:t>
            </w:r>
          </w:p>
        </w:tc>
        <w:tc>
          <w:tcPr>
            <w:tcW w:w="1987" w:type="dxa"/>
            <w:vAlign w:val="center"/>
          </w:tcPr>
          <w:p w14:paraId="7135A81A">
            <w:pPr>
              <w:spacing w:after="0" w:line="240" w:lineRule="auto"/>
              <w:jc w:val="center"/>
            </w:pPr>
            <w:r>
              <w:rPr>
                <w:rFonts w:ascii="Times New Roman" w:hAnsi="Times New Roman" w:eastAsia="宋体"/>
                <w:b w:val="0"/>
                <w:i w:val="0"/>
                <w:sz w:val="18"/>
              </w:rPr>
              <w:t>CLIP-B</w:t>
            </w:r>
          </w:p>
        </w:tc>
        <w:tc>
          <w:tcPr>
            <w:tcW w:w="1987" w:type="dxa"/>
            <w:vAlign w:val="center"/>
          </w:tcPr>
          <w:p w14:paraId="5E5DD9C8">
            <w:pPr>
              <w:spacing w:after="0" w:line="240" w:lineRule="auto"/>
              <w:jc w:val="center"/>
            </w:pPr>
            <w:r>
              <w:rPr>
                <w:rFonts w:ascii="Times New Roman" w:hAnsi="Times New Roman" w:eastAsia="宋体"/>
                <w:b w:val="0"/>
                <w:i w:val="0"/>
                <w:sz w:val="18"/>
              </w:rPr>
              <w:t>VOC</w:t>
            </w:r>
          </w:p>
        </w:tc>
        <w:tc>
          <w:tcPr>
            <w:tcW w:w="1987" w:type="dxa"/>
            <w:vAlign w:val="center"/>
          </w:tcPr>
          <w:p w14:paraId="2C2A4553">
            <w:pPr>
              <w:spacing w:after="0" w:line="240" w:lineRule="auto"/>
              <w:jc w:val="center"/>
            </w:pPr>
            <w:r>
              <w:rPr>
                <w:rFonts w:ascii="Times New Roman" w:hAnsi="Times New Roman" w:eastAsia="宋体"/>
                <w:b w:val="0"/>
                <w:i w:val="0"/>
                <w:sz w:val="18"/>
              </w:rPr>
              <w:t>+2.4</w:t>
            </w:r>
          </w:p>
        </w:tc>
        <w:tc>
          <w:tcPr>
            <w:tcW w:w="1987" w:type="dxa"/>
            <w:vAlign w:val="center"/>
          </w:tcPr>
          <w:p w14:paraId="775AB207">
            <w:pPr>
              <w:spacing w:after="0" w:line="240" w:lineRule="auto"/>
              <w:jc w:val="center"/>
            </w:pPr>
            <w:r>
              <w:rPr>
                <w:rFonts w:ascii="Times New Roman" w:hAnsi="Times New Roman" w:eastAsia="宋体"/>
                <w:b w:val="0"/>
                <w:i w:val="0"/>
                <w:sz w:val="18"/>
              </w:rPr>
              <w:t>+29.3</w:t>
            </w:r>
          </w:p>
        </w:tc>
      </w:tr>
    </w:tbl>
    <w:p w14:paraId="60B9FCB4"/>
    <w:p w14:paraId="14CAB767">
      <w:pPr>
        <w:spacing w:before="160" w:after="80"/>
      </w:pPr>
      <w:r>
        <w:rPr>
          <w:rFonts w:ascii="Times New Roman" w:hAnsi="Times New Roman" w:eastAsia="宋体"/>
          <w:b/>
          <w:i w:val="0"/>
          <w:sz w:val="24"/>
        </w:rPr>
        <w:t>C. 消融实验</w:t>
      </w:r>
    </w:p>
    <w:p w14:paraId="5D36A326">
      <w:pPr>
        <w:spacing w:after="60" w:line="276" w:lineRule="auto"/>
        <w:ind w:firstLine="420"/>
      </w:pPr>
      <w:r>
        <w:rPr>
          <w:rFonts w:ascii="Times New Roman" w:hAnsi="Times New Roman" w:eastAsia="宋体"/>
          <w:b w:val="0"/>
          <w:i w:val="0"/>
          <w:sz w:val="21"/>
        </w:rPr>
        <w:t>为了分离各组件贡献，本文在 DINO ViT-S/16 + VOC 设置上进行了系统消融。每个变体仅移除或替换一个设计选择。表 V 给出了结果。</w:t>
      </w:r>
    </w:p>
    <w:p w14:paraId="74C3219A">
      <w:pPr>
        <w:spacing w:after="60" w:line="276" w:lineRule="auto"/>
        <w:jc w:val="center"/>
      </w:pPr>
      <w:r>
        <w:rPr>
          <w:rFonts w:ascii="Times New Roman" w:hAnsi="Times New Roman" w:eastAsia="宋体"/>
          <w:b/>
          <w:i w:val="0"/>
          <w:sz w:val="21"/>
        </w:rPr>
        <w:t>表 V. VOC 2012 上的组件消融（DINO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976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222CA3FF">
            <w:pPr>
              <w:spacing w:after="0" w:line="240" w:lineRule="auto"/>
              <w:jc w:val="center"/>
            </w:pPr>
            <w:r>
              <w:rPr>
                <w:rFonts w:ascii="Times New Roman" w:hAnsi="Times New Roman" w:eastAsia="宋体"/>
                <w:b/>
                <w:i w:val="0"/>
                <w:sz w:val="18"/>
              </w:rPr>
              <w:t>变体</w:t>
            </w:r>
          </w:p>
        </w:tc>
        <w:tc>
          <w:tcPr>
            <w:tcW w:w="1987" w:type="dxa"/>
            <w:shd w:val="clear" w:color="auto" w:fill="D9EAF7"/>
            <w:vAlign w:val="center"/>
          </w:tcPr>
          <w:p w14:paraId="7BF6158F">
            <w:pPr>
              <w:spacing w:after="0" w:line="240" w:lineRule="auto"/>
              <w:jc w:val="center"/>
            </w:pPr>
            <w:r>
              <w:rPr>
                <w:rFonts w:ascii="Times New Roman" w:hAnsi="Times New Roman" w:eastAsia="宋体"/>
                <w:b/>
                <w:i w:val="0"/>
                <w:sz w:val="18"/>
              </w:rPr>
              <w:t>CorLoc ↑</w:t>
            </w:r>
          </w:p>
        </w:tc>
        <w:tc>
          <w:tcPr>
            <w:tcW w:w="1987" w:type="dxa"/>
            <w:shd w:val="clear" w:color="auto" w:fill="D9EAF7"/>
            <w:vAlign w:val="center"/>
          </w:tcPr>
          <w:p w14:paraId="0EA6C16E">
            <w:pPr>
              <w:spacing w:after="0" w:line="240" w:lineRule="auto"/>
              <w:jc w:val="center"/>
            </w:pPr>
            <w:r>
              <w:rPr>
                <w:rFonts w:ascii="Times New Roman" w:hAnsi="Times New Roman" w:eastAsia="宋体"/>
                <w:b/>
                <w:i w:val="0"/>
                <w:sz w:val="18"/>
              </w:rPr>
              <w:t>Mask IoU ↑</w:t>
            </w:r>
          </w:p>
        </w:tc>
        <w:tc>
          <w:tcPr>
            <w:tcW w:w="1987" w:type="dxa"/>
            <w:shd w:val="clear" w:color="auto" w:fill="D9EAF7"/>
            <w:vAlign w:val="center"/>
          </w:tcPr>
          <w:p w14:paraId="61707800">
            <w:pPr>
              <w:spacing w:after="0" w:line="240" w:lineRule="auto"/>
              <w:jc w:val="center"/>
            </w:pPr>
            <w:r>
              <w:rPr>
                <w:rFonts w:ascii="Times New Roman" w:hAnsi="Times New Roman" w:eastAsia="宋体"/>
                <w:b/>
                <w:i w:val="0"/>
                <w:sz w:val="18"/>
              </w:rPr>
              <w:t>PiB ↑</w:t>
            </w:r>
          </w:p>
        </w:tc>
        <w:tc>
          <w:tcPr>
            <w:tcW w:w="1987" w:type="dxa"/>
            <w:shd w:val="clear" w:color="auto" w:fill="D9EAF7"/>
            <w:vAlign w:val="center"/>
          </w:tcPr>
          <w:p w14:paraId="6B303D58">
            <w:pPr>
              <w:spacing w:after="0" w:line="240" w:lineRule="auto"/>
              <w:jc w:val="center"/>
            </w:pPr>
            <w:r>
              <w:rPr>
                <w:rFonts w:ascii="Times New Roman" w:hAnsi="Times New Roman" w:eastAsia="宋体"/>
                <w:b/>
                <w:i w:val="0"/>
                <w:sz w:val="18"/>
              </w:rPr>
              <w:t>说明</w:t>
            </w:r>
          </w:p>
        </w:tc>
      </w:tr>
      <w:tr w14:paraId="0BAA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06BAD79">
            <w:pPr>
              <w:spacing w:after="0" w:line="240" w:lineRule="auto"/>
              <w:jc w:val="center"/>
            </w:pPr>
            <w:r>
              <w:rPr>
                <w:rFonts w:ascii="Times New Roman" w:hAnsi="Times New Roman" w:eastAsia="宋体"/>
                <w:b w:val="0"/>
                <w:i w:val="0"/>
                <w:sz w:val="18"/>
              </w:rPr>
              <w:t>Baseline（raw ViT）</w:t>
            </w:r>
          </w:p>
        </w:tc>
        <w:tc>
          <w:tcPr>
            <w:tcW w:w="1987" w:type="dxa"/>
            <w:vAlign w:val="center"/>
          </w:tcPr>
          <w:p w14:paraId="567D3519">
            <w:pPr>
              <w:spacing w:after="0" w:line="240" w:lineRule="auto"/>
              <w:jc w:val="center"/>
            </w:pPr>
            <w:r>
              <w:rPr>
                <w:rFonts w:ascii="Times New Roman" w:hAnsi="Times New Roman" w:eastAsia="宋体"/>
                <w:b w:val="0"/>
                <w:i w:val="0"/>
                <w:sz w:val="18"/>
              </w:rPr>
              <w:t>29.33</w:t>
            </w:r>
          </w:p>
        </w:tc>
        <w:tc>
          <w:tcPr>
            <w:tcW w:w="1987" w:type="dxa"/>
            <w:vAlign w:val="center"/>
          </w:tcPr>
          <w:p w14:paraId="43A0C981">
            <w:pPr>
              <w:spacing w:after="0" w:line="240" w:lineRule="auto"/>
              <w:jc w:val="center"/>
            </w:pPr>
            <w:r>
              <w:rPr>
                <w:rFonts w:ascii="Times New Roman" w:hAnsi="Times New Roman" w:eastAsia="宋体"/>
                <w:b w:val="0"/>
                <w:i w:val="0"/>
                <w:sz w:val="18"/>
              </w:rPr>
              <w:t>30.76</w:t>
            </w:r>
          </w:p>
        </w:tc>
        <w:tc>
          <w:tcPr>
            <w:tcW w:w="1987" w:type="dxa"/>
            <w:vAlign w:val="center"/>
          </w:tcPr>
          <w:p w14:paraId="16C9DDA2">
            <w:pPr>
              <w:spacing w:after="0" w:line="240" w:lineRule="auto"/>
              <w:jc w:val="center"/>
            </w:pPr>
            <w:r>
              <w:rPr>
                <w:rFonts w:ascii="Times New Roman" w:hAnsi="Times New Roman" w:eastAsia="宋体"/>
                <w:b w:val="0"/>
                <w:i w:val="0"/>
                <w:sz w:val="18"/>
              </w:rPr>
              <w:t>42.72</w:t>
            </w:r>
          </w:p>
        </w:tc>
        <w:tc>
          <w:tcPr>
            <w:tcW w:w="1987" w:type="dxa"/>
            <w:vAlign w:val="center"/>
          </w:tcPr>
          <w:p w14:paraId="1499EC96">
            <w:pPr>
              <w:spacing w:after="0" w:line="240" w:lineRule="auto"/>
              <w:jc w:val="center"/>
            </w:pPr>
            <w:r>
              <w:rPr>
                <w:rFonts w:ascii="Times New Roman" w:hAnsi="Times New Roman" w:eastAsia="宋体"/>
                <w:b w:val="0"/>
                <w:i w:val="0"/>
                <w:sz w:val="18"/>
              </w:rPr>
              <w:t>全 1 掩码，等权 CLS 聚合</w:t>
            </w:r>
          </w:p>
        </w:tc>
      </w:tr>
      <w:tr w14:paraId="0275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3CA3D72">
            <w:pPr>
              <w:spacing w:after="0" w:line="240" w:lineRule="auto"/>
              <w:jc w:val="center"/>
            </w:pPr>
            <w:r>
              <w:rPr>
                <w:rFonts w:ascii="Times New Roman" w:hAnsi="Times New Roman" w:eastAsia="宋体"/>
                <w:b w:val="0"/>
                <w:i w:val="0"/>
                <w:sz w:val="18"/>
              </w:rPr>
              <w:t>− Cues（no_cues）</w:t>
            </w:r>
          </w:p>
        </w:tc>
        <w:tc>
          <w:tcPr>
            <w:tcW w:w="1987" w:type="dxa"/>
            <w:vAlign w:val="center"/>
          </w:tcPr>
          <w:p w14:paraId="40A2F3D9">
            <w:pPr>
              <w:spacing w:after="0" w:line="240" w:lineRule="auto"/>
              <w:jc w:val="center"/>
            </w:pPr>
            <w:r>
              <w:rPr>
                <w:rFonts w:ascii="Times New Roman" w:hAnsi="Times New Roman" w:eastAsia="宋体"/>
                <w:b w:val="0"/>
                <w:i w:val="0"/>
                <w:sz w:val="18"/>
              </w:rPr>
              <w:t>47.48</w:t>
            </w:r>
          </w:p>
        </w:tc>
        <w:tc>
          <w:tcPr>
            <w:tcW w:w="1987" w:type="dxa"/>
            <w:vAlign w:val="center"/>
          </w:tcPr>
          <w:p w14:paraId="1668BC50">
            <w:pPr>
              <w:spacing w:after="0" w:line="240" w:lineRule="auto"/>
              <w:jc w:val="center"/>
            </w:pPr>
            <w:r>
              <w:rPr>
                <w:rFonts w:ascii="Times New Roman" w:hAnsi="Times New Roman" w:eastAsia="宋体"/>
                <w:b w:val="0"/>
                <w:i w:val="0"/>
                <w:sz w:val="18"/>
              </w:rPr>
              <w:t>30.16</w:t>
            </w:r>
          </w:p>
        </w:tc>
        <w:tc>
          <w:tcPr>
            <w:tcW w:w="1987" w:type="dxa"/>
            <w:vAlign w:val="center"/>
          </w:tcPr>
          <w:p w14:paraId="42D73924">
            <w:pPr>
              <w:spacing w:after="0" w:line="240" w:lineRule="auto"/>
              <w:jc w:val="center"/>
            </w:pPr>
            <w:r>
              <w:rPr>
                <w:rFonts w:ascii="Times New Roman" w:hAnsi="Times New Roman" w:eastAsia="宋体"/>
                <w:b w:val="0"/>
                <w:i w:val="0"/>
                <w:sz w:val="18"/>
              </w:rPr>
              <w:t>31.68</w:t>
            </w:r>
          </w:p>
        </w:tc>
        <w:tc>
          <w:tcPr>
            <w:tcW w:w="1987" w:type="dxa"/>
            <w:vAlign w:val="center"/>
          </w:tcPr>
          <w:p w14:paraId="6B33B116">
            <w:pPr>
              <w:spacing w:after="0" w:line="240" w:lineRule="auto"/>
              <w:jc w:val="center"/>
            </w:pPr>
            <w:r>
              <w:rPr>
                <w:rFonts w:ascii="Times New Roman" w:hAnsi="Times New Roman" w:eastAsia="宋体"/>
                <w:b w:val="0"/>
                <w:i w:val="0"/>
                <w:sz w:val="18"/>
              </w:rPr>
              <w:t>禁用四种前景性线索</w:t>
            </w:r>
          </w:p>
        </w:tc>
      </w:tr>
      <w:tr w14:paraId="3A70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17F2D47">
            <w:pPr>
              <w:spacing w:after="0" w:line="240" w:lineRule="auto"/>
              <w:jc w:val="center"/>
            </w:pPr>
            <w:r>
              <w:rPr>
                <w:rFonts w:ascii="Times New Roman" w:hAnsi="Times New Roman" w:eastAsia="宋体"/>
                <w:b w:val="0"/>
                <w:i w:val="0"/>
                <w:sz w:val="18"/>
              </w:rPr>
              <w:t>− Budget（no_budget）</w:t>
            </w:r>
          </w:p>
        </w:tc>
        <w:tc>
          <w:tcPr>
            <w:tcW w:w="1987" w:type="dxa"/>
            <w:vAlign w:val="center"/>
          </w:tcPr>
          <w:p w14:paraId="1A499626">
            <w:pPr>
              <w:spacing w:after="0" w:line="240" w:lineRule="auto"/>
              <w:jc w:val="center"/>
            </w:pPr>
            <w:r>
              <w:rPr>
                <w:rFonts w:ascii="Times New Roman" w:hAnsi="Times New Roman" w:eastAsia="宋体"/>
                <w:b w:val="0"/>
                <w:i w:val="0"/>
                <w:sz w:val="18"/>
              </w:rPr>
              <w:t>79.78</w:t>
            </w:r>
          </w:p>
        </w:tc>
        <w:tc>
          <w:tcPr>
            <w:tcW w:w="1987" w:type="dxa"/>
            <w:vAlign w:val="center"/>
          </w:tcPr>
          <w:p w14:paraId="784521E3">
            <w:pPr>
              <w:spacing w:after="0" w:line="240" w:lineRule="auto"/>
              <w:jc w:val="center"/>
            </w:pPr>
            <w:r>
              <w:rPr>
                <w:rFonts w:ascii="Times New Roman" w:hAnsi="Times New Roman" w:eastAsia="宋体"/>
                <w:b w:val="0"/>
                <w:i w:val="0"/>
                <w:sz w:val="18"/>
              </w:rPr>
              <w:t>13.91</w:t>
            </w:r>
          </w:p>
        </w:tc>
        <w:tc>
          <w:tcPr>
            <w:tcW w:w="1987" w:type="dxa"/>
            <w:vAlign w:val="center"/>
          </w:tcPr>
          <w:p w14:paraId="48A146A4">
            <w:pPr>
              <w:spacing w:after="0" w:line="240" w:lineRule="auto"/>
              <w:jc w:val="center"/>
            </w:pPr>
            <w:r>
              <w:rPr>
                <w:rFonts w:ascii="Times New Roman" w:hAnsi="Times New Roman" w:eastAsia="宋体"/>
                <w:b w:val="0"/>
                <w:i w:val="0"/>
                <w:sz w:val="18"/>
              </w:rPr>
              <w:t>53.62</w:t>
            </w:r>
          </w:p>
        </w:tc>
        <w:tc>
          <w:tcPr>
            <w:tcW w:w="1987" w:type="dxa"/>
            <w:vAlign w:val="center"/>
          </w:tcPr>
          <w:p w14:paraId="22B43B28">
            <w:pPr>
              <w:spacing w:after="0" w:line="240" w:lineRule="auto"/>
              <w:jc w:val="center"/>
            </w:pPr>
            <w:r>
              <w:rPr>
                <w:rFonts w:ascii="Times New Roman" w:hAnsi="Times New Roman" w:eastAsia="宋体"/>
                <w:b w:val="0"/>
                <w:i w:val="0"/>
                <w:sz w:val="18"/>
              </w:rPr>
              <w:t>将自适应阈值替换为固定 Top-30%</w:t>
            </w:r>
          </w:p>
        </w:tc>
      </w:tr>
      <w:tr w14:paraId="35AB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9DABDA6">
            <w:pPr>
              <w:spacing w:after="0" w:line="240" w:lineRule="auto"/>
              <w:jc w:val="center"/>
            </w:pPr>
            <w:r>
              <w:rPr>
                <w:rFonts w:ascii="Times New Roman" w:hAnsi="Times New Roman" w:eastAsia="宋体"/>
                <w:b w:val="0"/>
                <w:i w:val="0"/>
                <w:sz w:val="18"/>
              </w:rPr>
              <w:t>− Dual CLS</w:t>
            </w:r>
          </w:p>
        </w:tc>
        <w:tc>
          <w:tcPr>
            <w:tcW w:w="1987" w:type="dxa"/>
            <w:vAlign w:val="center"/>
          </w:tcPr>
          <w:p w14:paraId="5B7D269D">
            <w:pPr>
              <w:spacing w:after="0" w:line="240" w:lineRule="auto"/>
              <w:jc w:val="center"/>
            </w:pPr>
            <w:r>
              <w:rPr>
                <w:rFonts w:ascii="Times New Roman" w:hAnsi="Times New Roman" w:eastAsia="宋体"/>
                <w:b w:val="0"/>
                <w:i w:val="0"/>
                <w:sz w:val="18"/>
              </w:rPr>
              <w:t>78.4</w:t>
            </w:r>
          </w:p>
        </w:tc>
        <w:tc>
          <w:tcPr>
            <w:tcW w:w="1987" w:type="dxa"/>
            <w:vAlign w:val="center"/>
          </w:tcPr>
          <w:p w14:paraId="695ACDD6">
            <w:pPr>
              <w:spacing w:after="0" w:line="240" w:lineRule="auto"/>
              <w:jc w:val="center"/>
            </w:pPr>
            <w:r>
              <w:rPr>
                <w:rFonts w:ascii="Times New Roman" w:hAnsi="Times New Roman" w:eastAsia="宋体"/>
                <w:b w:val="0"/>
                <w:i w:val="0"/>
                <w:sz w:val="18"/>
              </w:rPr>
              <w:t>31.25</w:t>
            </w:r>
          </w:p>
        </w:tc>
        <w:tc>
          <w:tcPr>
            <w:tcW w:w="1987" w:type="dxa"/>
            <w:vAlign w:val="center"/>
          </w:tcPr>
          <w:p w14:paraId="60308F70">
            <w:pPr>
              <w:spacing w:after="0" w:line="240" w:lineRule="auto"/>
              <w:jc w:val="center"/>
            </w:pPr>
            <w:r>
              <w:rPr>
                <w:rFonts w:ascii="Times New Roman" w:hAnsi="Times New Roman" w:eastAsia="宋体"/>
                <w:b w:val="0"/>
                <w:i w:val="0"/>
                <w:sz w:val="18"/>
              </w:rPr>
              <w:t>33.13</w:t>
            </w:r>
          </w:p>
        </w:tc>
        <w:tc>
          <w:tcPr>
            <w:tcW w:w="1987" w:type="dxa"/>
            <w:vAlign w:val="center"/>
          </w:tcPr>
          <w:p w14:paraId="5B1E0ED0">
            <w:pPr>
              <w:spacing w:after="0" w:line="240" w:lineRule="auto"/>
              <w:jc w:val="center"/>
            </w:pPr>
            <w:r>
              <w:rPr>
                <w:rFonts w:ascii="Times New Roman" w:hAnsi="Times New Roman" w:eastAsia="宋体"/>
                <w:b w:val="0"/>
                <w:i w:val="0"/>
                <w:sz w:val="18"/>
              </w:rPr>
              <w:t>移除背景 CLS 流</w:t>
            </w:r>
          </w:p>
        </w:tc>
      </w:tr>
      <w:tr w14:paraId="0F1D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AB876FD">
            <w:pPr>
              <w:spacing w:after="0" w:line="240" w:lineRule="auto"/>
              <w:jc w:val="center"/>
            </w:pPr>
            <w:r>
              <w:rPr>
                <w:rFonts w:ascii="Times New Roman" w:hAnsi="Times New Roman" w:eastAsia="宋体"/>
                <w:b w:val="0"/>
                <w:i w:val="0"/>
                <w:sz w:val="18"/>
              </w:rPr>
              <w:t>Shared Depth</w:t>
            </w:r>
          </w:p>
        </w:tc>
        <w:tc>
          <w:tcPr>
            <w:tcW w:w="1987" w:type="dxa"/>
            <w:vAlign w:val="center"/>
          </w:tcPr>
          <w:p w14:paraId="4DEF9CA6">
            <w:pPr>
              <w:spacing w:after="0" w:line="240" w:lineRule="auto"/>
              <w:jc w:val="center"/>
            </w:pPr>
            <w:r>
              <w:rPr>
                <w:rFonts w:ascii="Times New Roman" w:hAnsi="Times New Roman" w:eastAsia="宋体"/>
                <w:b w:val="0"/>
                <w:i w:val="0"/>
                <w:sz w:val="18"/>
              </w:rPr>
              <w:t>77.43</w:t>
            </w:r>
          </w:p>
        </w:tc>
        <w:tc>
          <w:tcPr>
            <w:tcW w:w="1987" w:type="dxa"/>
            <w:vAlign w:val="center"/>
          </w:tcPr>
          <w:p w14:paraId="2BBCEF58">
            <w:pPr>
              <w:spacing w:after="0" w:line="240" w:lineRule="auto"/>
              <w:jc w:val="center"/>
            </w:pPr>
            <w:r>
              <w:rPr>
                <w:rFonts w:ascii="Times New Roman" w:hAnsi="Times New Roman" w:eastAsia="宋体"/>
                <w:b w:val="0"/>
                <w:i w:val="0"/>
                <w:sz w:val="18"/>
              </w:rPr>
              <w:t>31.18</w:t>
            </w:r>
          </w:p>
        </w:tc>
        <w:tc>
          <w:tcPr>
            <w:tcW w:w="1987" w:type="dxa"/>
            <w:vAlign w:val="center"/>
          </w:tcPr>
          <w:p w14:paraId="6061CE4D">
            <w:pPr>
              <w:spacing w:after="0" w:line="240" w:lineRule="auto"/>
              <w:jc w:val="center"/>
            </w:pPr>
            <w:r>
              <w:rPr>
                <w:rFonts w:ascii="Times New Roman" w:hAnsi="Times New Roman" w:eastAsia="宋体"/>
                <w:b w:val="0"/>
                <w:i w:val="0"/>
                <w:sz w:val="18"/>
              </w:rPr>
              <w:t>28.36</w:t>
            </w:r>
          </w:p>
        </w:tc>
        <w:tc>
          <w:tcPr>
            <w:tcW w:w="1987" w:type="dxa"/>
            <w:vAlign w:val="center"/>
          </w:tcPr>
          <w:p w14:paraId="4DD761F6">
            <w:pPr>
              <w:spacing w:after="0" w:line="240" w:lineRule="auto"/>
              <w:jc w:val="center"/>
            </w:pPr>
            <w:r>
              <w:rPr>
                <w:rFonts w:ascii="Times New Roman" w:hAnsi="Times New Roman" w:eastAsia="宋体"/>
                <w:b w:val="0"/>
                <w:i w:val="0"/>
                <w:sz w:val="18"/>
              </w:rPr>
              <w:t>前景/背景流共享一套深度注意力</w:t>
            </w:r>
          </w:p>
        </w:tc>
      </w:tr>
      <w:tr w14:paraId="03FC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EF52475">
            <w:pPr>
              <w:spacing w:after="0" w:line="240" w:lineRule="auto"/>
              <w:jc w:val="center"/>
            </w:pPr>
            <w:r>
              <w:rPr>
                <w:rFonts w:ascii="Times New Roman" w:hAnsi="Times New Roman" w:eastAsia="宋体"/>
                <w:b w:val="0"/>
                <w:i w:val="0"/>
                <w:sz w:val="18"/>
              </w:rPr>
              <w:t>Hard Top-K</w:t>
            </w:r>
          </w:p>
        </w:tc>
        <w:tc>
          <w:tcPr>
            <w:tcW w:w="1987" w:type="dxa"/>
            <w:vAlign w:val="center"/>
          </w:tcPr>
          <w:p w14:paraId="027B8BE7">
            <w:pPr>
              <w:spacing w:after="0" w:line="240" w:lineRule="auto"/>
              <w:jc w:val="center"/>
            </w:pPr>
            <w:r>
              <w:rPr>
                <w:rFonts w:ascii="Times New Roman" w:hAnsi="Times New Roman" w:eastAsia="宋体"/>
                <w:b w:val="0"/>
                <w:i w:val="0"/>
                <w:sz w:val="18"/>
              </w:rPr>
              <w:t>81.71</w:t>
            </w:r>
          </w:p>
        </w:tc>
        <w:tc>
          <w:tcPr>
            <w:tcW w:w="1987" w:type="dxa"/>
            <w:vAlign w:val="center"/>
          </w:tcPr>
          <w:p w14:paraId="6EFAB1D1">
            <w:pPr>
              <w:spacing w:after="0" w:line="240" w:lineRule="auto"/>
              <w:jc w:val="center"/>
            </w:pPr>
            <w:r>
              <w:rPr>
                <w:rFonts w:ascii="Times New Roman" w:hAnsi="Times New Roman" w:eastAsia="宋体"/>
                <w:b w:val="0"/>
                <w:i w:val="0"/>
                <w:sz w:val="18"/>
              </w:rPr>
              <w:t>22.68</w:t>
            </w:r>
          </w:p>
        </w:tc>
        <w:tc>
          <w:tcPr>
            <w:tcW w:w="1987" w:type="dxa"/>
            <w:vAlign w:val="center"/>
          </w:tcPr>
          <w:p w14:paraId="664F7B59">
            <w:pPr>
              <w:spacing w:after="0" w:line="240" w:lineRule="auto"/>
              <w:jc w:val="center"/>
            </w:pPr>
            <w:r>
              <w:rPr>
                <w:rFonts w:ascii="Times New Roman" w:hAnsi="Times New Roman" w:eastAsia="宋体"/>
                <w:b w:val="0"/>
                <w:i w:val="0"/>
                <w:sz w:val="18"/>
              </w:rPr>
              <w:t>51.76</w:t>
            </w:r>
          </w:p>
        </w:tc>
        <w:tc>
          <w:tcPr>
            <w:tcW w:w="1987" w:type="dxa"/>
            <w:vAlign w:val="center"/>
          </w:tcPr>
          <w:p w14:paraId="08EE948C">
            <w:pPr>
              <w:spacing w:after="0" w:line="240" w:lineRule="auto"/>
              <w:jc w:val="center"/>
            </w:pPr>
            <w:r>
              <w:rPr>
                <w:rFonts w:ascii="Times New Roman" w:hAnsi="Times New Roman" w:eastAsia="宋体"/>
                <w:b w:val="0"/>
                <w:i w:val="0"/>
                <w:sz w:val="18"/>
              </w:rPr>
              <w:t>将软掩码替换为硬二值 Top-K 选择</w:t>
            </w:r>
          </w:p>
        </w:tc>
      </w:tr>
      <w:tr w14:paraId="580B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319C0D5">
            <w:pPr>
              <w:spacing w:after="0" w:line="240" w:lineRule="auto"/>
              <w:jc w:val="center"/>
            </w:pPr>
            <w:r>
              <w:rPr>
                <w:rFonts w:ascii="Times New Roman" w:hAnsi="Times New Roman" w:eastAsia="宋体"/>
                <w:b w:val="0"/>
                <w:i w:val="0"/>
                <w:sz w:val="18"/>
              </w:rPr>
              <w:t>Full DAFB-CLS</w:t>
            </w:r>
          </w:p>
        </w:tc>
        <w:tc>
          <w:tcPr>
            <w:tcW w:w="1987" w:type="dxa"/>
            <w:vAlign w:val="center"/>
          </w:tcPr>
          <w:p w14:paraId="7FE8F361">
            <w:pPr>
              <w:spacing w:after="0" w:line="240" w:lineRule="auto"/>
              <w:jc w:val="center"/>
            </w:pPr>
            <w:r>
              <w:rPr>
                <w:rFonts w:ascii="Times New Roman" w:hAnsi="Times New Roman" w:eastAsia="宋体"/>
                <w:b w:val="0"/>
                <w:i w:val="0"/>
                <w:sz w:val="18"/>
              </w:rPr>
              <w:t>79.43</w:t>
            </w:r>
          </w:p>
        </w:tc>
        <w:tc>
          <w:tcPr>
            <w:tcW w:w="1987" w:type="dxa"/>
            <w:vAlign w:val="center"/>
          </w:tcPr>
          <w:p w14:paraId="3926792F">
            <w:pPr>
              <w:spacing w:after="0" w:line="240" w:lineRule="auto"/>
              <w:jc w:val="center"/>
            </w:pPr>
            <w:r>
              <w:rPr>
                <w:rFonts w:ascii="Times New Roman" w:hAnsi="Times New Roman" w:eastAsia="宋体"/>
                <w:b w:val="0"/>
                <w:i w:val="0"/>
                <w:sz w:val="18"/>
              </w:rPr>
              <w:t>31.27</w:t>
            </w:r>
          </w:p>
        </w:tc>
        <w:tc>
          <w:tcPr>
            <w:tcW w:w="1987" w:type="dxa"/>
            <w:vAlign w:val="center"/>
          </w:tcPr>
          <w:p w14:paraId="3EA684BB">
            <w:pPr>
              <w:spacing w:after="0" w:line="240" w:lineRule="auto"/>
              <w:jc w:val="center"/>
            </w:pPr>
            <w:r>
              <w:rPr>
                <w:rFonts w:ascii="Times New Roman" w:hAnsi="Times New Roman" w:eastAsia="宋体"/>
                <w:b w:val="0"/>
                <w:i w:val="0"/>
                <w:sz w:val="18"/>
              </w:rPr>
              <w:t>45.07</w:t>
            </w:r>
          </w:p>
        </w:tc>
        <w:tc>
          <w:tcPr>
            <w:tcW w:w="1987" w:type="dxa"/>
            <w:vAlign w:val="center"/>
          </w:tcPr>
          <w:p w14:paraId="4DB95915">
            <w:pPr>
              <w:spacing w:after="0" w:line="240" w:lineRule="auto"/>
              <w:jc w:val="center"/>
            </w:pPr>
            <w:r>
              <w:rPr>
                <w:rFonts w:ascii="Times New Roman" w:hAnsi="Times New Roman" w:eastAsia="宋体"/>
                <w:b w:val="0"/>
                <w:i w:val="0"/>
                <w:sz w:val="18"/>
              </w:rPr>
              <w:t>启用全部组件</w:t>
            </w:r>
          </w:p>
        </w:tc>
      </w:tr>
    </w:tbl>
    <w:p w14:paraId="4E67C6F9"/>
    <w:p w14:paraId="11D07063">
      <w:pPr>
        <w:spacing w:after="60" w:line="276" w:lineRule="auto"/>
        <w:ind w:firstLine="420"/>
      </w:pPr>
      <w:r>
        <w:rPr>
          <w:rFonts w:ascii="Times New Roman" w:hAnsi="Times New Roman" w:eastAsia="宋体"/>
          <w:b w:val="0"/>
          <w:i w:val="0"/>
          <w:sz w:val="21"/>
        </w:rPr>
        <w:t>多线索前景性是模型基础。移除四种线索（−Cues）后，CorLoc 从 79.43% 降至 47.48%，下降 32.0 个百分点，这是所有消融中最大的降幅，说明前景性得分提供了关键的空间选择信号。没有这些线索时，模型无法获得前景—背景信息，退化为近似随机的图像块平均。</w:t>
      </w:r>
    </w:p>
    <w:p w14:paraId="395B4710">
      <w:pPr>
        <w:spacing w:after="60" w:line="276" w:lineRule="auto"/>
        <w:ind w:firstLine="420"/>
      </w:pPr>
      <w:r>
        <w:rPr>
          <w:rFonts w:ascii="Times New Roman" w:hAnsi="Times New Roman" w:eastAsia="宋体"/>
          <w:b w:val="0"/>
          <w:i w:val="0"/>
          <w:sz w:val="21"/>
        </w:rPr>
        <w:t>自适应预算能够防止掩码崩塌。将自适应阈值替换为固定 Top-30%（−Budget）会产生一个具有启发性的权衡：CorLoc 仍保持在 79.78%，但 Mask IoU 从 31.27% 降至 13.91%，下降 17.4 个百分点。固定比例强制模型始终将 30% 的图像块预测为前景，而不管真实目标大小。</w:t>
      </w:r>
    </w:p>
    <w:p w14:paraId="5CBF0150">
      <w:pPr>
        <w:spacing w:after="60" w:line="276" w:lineRule="auto"/>
        <w:ind w:firstLine="420"/>
      </w:pPr>
      <w:r>
        <w:rPr>
          <w:rFonts w:ascii="Times New Roman" w:hAnsi="Times New Roman" w:eastAsia="宋体"/>
          <w:b w:val="0"/>
          <w:i w:val="0"/>
          <w:sz w:val="21"/>
        </w:rPr>
        <w:t>双 CLS 有助于空间定位。移除背景流（−Dual CLS）会使 PiB 从 45.07% 降至 33.13%，下降 11.9 个百分点。这表明显式保留背景表示对于促使前景流集中于目标区域至关重要。</w:t>
      </w:r>
    </w:p>
    <w:p w14:paraId="512CEB40">
      <w:pPr>
        <w:spacing w:after="60" w:line="276" w:lineRule="auto"/>
        <w:ind w:firstLine="420"/>
      </w:pPr>
      <w:r>
        <w:rPr>
          <w:rFonts w:ascii="Times New Roman" w:hAnsi="Times New Roman" w:eastAsia="宋体"/>
          <w:b w:val="0"/>
          <w:i w:val="0"/>
          <w:sz w:val="21"/>
        </w:rPr>
        <w:t>独立深度注意力使两条流各自受益。共享深度注意力（Shared Depth）会使 PiB 降至 28.36%，下降 16.7 个百分点，是所有消融中最大的 PiB 降幅。前景和背景需要不同的深度聚合模式：前景受益于后期语义层 L9—L12，而背景更依赖早期空间层 L3—L6。</w:t>
      </w:r>
    </w:p>
    <w:p w14:paraId="133FCBF9">
      <w:pPr>
        <w:spacing w:after="60" w:line="276" w:lineRule="auto"/>
        <w:ind w:firstLine="420"/>
      </w:pPr>
      <w:r>
        <w:rPr>
          <w:rFonts w:ascii="Times New Roman" w:hAnsi="Times New Roman" w:eastAsia="宋体"/>
          <w:b w:val="0"/>
          <w:i w:val="0"/>
          <w:sz w:val="21"/>
        </w:rPr>
        <w:t>总体来看，消融实验揭示出清晰的分工：多线索前景性主要驱动 CorLoc，即空间选择能力；自适应预算主要驱动 Mask IoU，即掩码精度；双 CLS 与独立深度注意力主要驱动 PiB，即表示质量。每个组件都对应一种不同的失败模式，完整框架需要这些组件共同发挥作用。</w:t>
      </w:r>
    </w:p>
    <w:p w14:paraId="1C21280B">
      <w:pPr>
        <w:spacing w:before="160" w:after="80"/>
      </w:pPr>
      <w:r>
        <w:rPr>
          <w:rFonts w:ascii="Times New Roman" w:hAnsi="Times New Roman" w:eastAsia="宋体"/>
          <w:b/>
          <w:i w:val="0"/>
          <w:sz w:val="24"/>
        </w:rPr>
        <w:t>D. 定性分析</w:t>
      </w:r>
    </w:p>
    <w:p w14:paraId="12CA91B8">
      <w:pPr>
        <w:jc w:val="center"/>
      </w:pPr>
      <w:r>
        <w:drawing>
          <wp:inline distT="0" distB="0" distL="114300" distR="114300">
            <wp:extent cx="6035040" cy="7753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35040" cy="775663"/>
                    </a:xfrm>
                    <a:prstGeom prst="rect">
                      <a:avLst/>
                    </a:prstGeom>
                  </pic:spPr>
                </pic:pic>
              </a:graphicData>
            </a:graphic>
          </wp:inline>
        </w:drawing>
      </w:r>
    </w:p>
    <w:p w14:paraId="1E9C799B">
      <w:pPr>
        <w:spacing w:after="60" w:line="276" w:lineRule="auto"/>
        <w:jc w:val="center"/>
      </w:pPr>
      <w:r>
        <w:rPr>
          <w:rFonts w:ascii="Times New Roman" w:hAnsi="Times New Roman" w:eastAsia="宋体"/>
          <w:b w:val="0"/>
          <w:i w:val="0"/>
          <w:sz w:val="19"/>
        </w:rPr>
        <w:t>图 3. 前景掩码定性可视化。每一行依次展示输入图像、真实掩码、预测前景掩码、预测背景掩码和频率稳定性得分热图。各列展示纹理目标、多目标、小目标和稳定背景场景中的代表性例子。</w:t>
      </w:r>
    </w:p>
    <w:p w14:paraId="239A9BB0">
      <w:pPr>
        <w:spacing w:after="60" w:line="276" w:lineRule="auto"/>
        <w:ind w:firstLine="420"/>
      </w:pPr>
      <w:r>
        <w:rPr>
          <w:rFonts w:ascii="Times New Roman" w:hAnsi="Times New Roman" w:eastAsia="宋体"/>
          <w:b w:val="0"/>
          <w:i w:val="0"/>
          <w:sz w:val="21"/>
        </w:rPr>
        <w:t>图 3 展示了不同场景类型下的代表性掩码预测。对于动物、车辆等纹理明显的目标，DAFB-CLS 能够生成较干净的前景掩码，这是因为多线索信号较强且彼此一致。在多目标场景中，双 CLS 机制能够成功地将多个前景实例与背景分离。小目标仍然具有一定挑战性，虽然自适应预算能够分配合适的前景比例，但 ViT-S/16 的 16×16 图像块分辨率限制了精细边界刻画。稳定背景场景，例如天空、水面和墙面，是主要失败模式，将在压力测试中进一步讨论。</w:t>
      </w:r>
    </w:p>
    <w:p w14:paraId="7E72498B">
      <w:pPr>
        <w:jc w:val="center"/>
      </w:pPr>
      <w:r>
        <w:drawing>
          <wp:inline distT="0" distB="0" distL="114300" distR="114300">
            <wp:extent cx="6035040" cy="3865245"/>
            <wp:effectExtent l="0" t="0" r="1016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3865417"/>
                    </a:xfrm>
                    <a:prstGeom prst="rect">
                      <a:avLst/>
                    </a:prstGeom>
                  </pic:spPr>
                </pic:pic>
              </a:graphicData>
            </a:graphic>
          </wp:inline>
        </w:drawing>
      </w:r>
    </w:p>
    <w:p w14:paraId="01420C35">
      <w:pPr>
        <w:spacing w:after="60" w:line="276" w:lineRule="auto"/>
        <w:jc w:val="center"/>
      </w:pPr>
      <w:r>
        <w:rPr>
          <w:rFonts w:ascii="Times New Roman" w:hAnsi="Times New Roman" w:eastAsia="宋体"/>
          <w:b w:val="0"/>
          <w:i w:val="0"/>
          <w:sz w:val="19"/>
        </w:rPr>
        <w:t>图 4. 深度注意力权重分析。图中展示了代表性图像在 L3—L12 层上的前景和背景深度注意力权重。前景注意力集中在后期语义层，而背景注意力分布更均匀，并且对早期空间层有明显关注。</w:t>
      </w:r>
    </w:p>
    <w:p w14:paraId="52BB974A">
      <w:pPr>
        <w:spacing w:after="60" w:line="276" w:lineRule="auto"/>
        <w:ind w:firstLine="420"/>
      </w:pPr>
      <w:r>
        <w:rPr>
          <w:rFonts w:ascii="Times New Roman" w:hAnsi="Times New Roman" w:eastAsia="宋体"/>
          <w:b w:val="0"/>
          <w:i w:val="0"/>
          <w:sz w:val="21"/>
        </w:rPr>
        <w:t>图 4 可视化了 {3, 6, 9, 12} 层上的前景和背景深度注意力权重。可以观察到两个一致模式。首先，前景注意力集中于较后层 L9—L12，这与语义目标表示在更深 ViT 模块中逐渐形成的直觉一致。其次，背景注意力分布更加均匀，并对 L3—L6 等较早层有显著权重，这些层保留了有助于识别非目标区域的细粒度空间结构。两种注意力模式之间的差异验证了独立深度注意力模块的设计合理性：若共享同一套注意力，模型就必须在两种相反偏好之间折中。</w:t>
      </w:r>
    </w:p>
    <w:p w14:paraId="56064DB7">
      <w:pPr>
        <w:spacing w:before="160" w:after="80"/>
      </w:pPr>
      <w:r>
        <w:rPr>
          <w:rFonts w:ascii="Times New Roman" w:hAnsi="Times New Roman" w:eastAsia="宋体"/>
          <w:b/>
          <w:i w:val="0"/>
          <w:sz w:val="24"/>
        </w:rPr>
        <w:t>E. 压力测试</w:t>
      </w:r>
    </w:p>
    <w:p w14:paraId="3327B23C">
      <w:pPr>
        <w:spacing w:after="60" w:line="276" w:lineRule="auto"/>
        <w:ind w:firstLine="420"/>
      </w:pPr>
      <w:r>
        <w:rPr>
          <w:rFonts w:ascii="Times New Roman" w:hAnsi="Times New Roman" w:eastAsia="宋体"/>
          <w:b w:val="0"/>
          <w:i w:val="0"/>
          <w:sz w:val="21"/>
        </w:rPr>
        <w:t>为了刻画失败模式并建立现实性能边界，本文在 VOC 2012 的四类困难子集上评估完整 DAFB-CLS，这些子集按照场景难度划分。表 VI 给出了各子集指标。</w:t>
      </w:r>
    </w:p>
    <w:p w14:paraId="1238F845">
      <w:pPr>
        <w:spacing w:after="60" w:line="276" w:lineRule="auto"/>
        <w:jc w:val="center"/>
      </w:pPr>
      <w:r>
        <w:rPr>
          <w:rFonts w:ascii="Times New Roman" w:hAnsi="Times New Roman" w:eastAsia="宋体"/>
          <w:b/>
          <w:i w:val="0"/>
          <w:sz w:val="21"/>
        </w:rPr>
        <w:t>表 VI. 压力测试结果（DINO ViT-S/16，VOC 2012）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5D9A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6F461AF1">
            <w:pPr>
              <w:spacing w:after="0" w:line="240" w:lineRule="auto"/>
              <w:jc w:val="center"/>
            </w:pPr>
            <w:r>
              <w:rPr>
                <w:rFonts w:ascii="Times New Roman" w:hAnsi="Times New Roman" w:eastAsia="宋体"/>
                <w:b/>
                <w:i w:val="0"/>
                <w:sz w:val="18"/>
              </w:rPr>
              <w:t>子集</w:t>
            </w:r>
          </w:p>
        </w:tc>
        <w:tc>
          <w:tcPr>
            <w:tcW w:w="1656" w:type="dxa"/>
            <w:shd w:val="clear" w:color="auto" w:fill="D9EAF7"/>
            <w:vAlign w:val="center"/>
          </w:tcPr>
          <w:p w14:paraId="13903871">
            <w:pPr>
              <w:spacing w:after="0" w:line="240" w:lineRule="auto"/>
              <w:jc w:val="center"/>
            </w:pPr>
            <w:r>
              <w:rPr>
                <w:rFonts w:ascii="Times New Roman" w:hAnsi="Times New Roman" w:eastAsia="宋体"/>
                <w:b/>
                <w:i w:val="0"/>
                <w:sz w:val="18"/>
              </w:rPr>
              <w:t>N</w:t>
            </w:r>
          </w:p>
        </w:tc>
        <w:tc>
          <w:tcPr>
            <w:tcW w:w="1656" w:type="dxa"/>
            <w:shd w:val="clear" w:color="auto" w:fill="D9EAF7"/>
            <w:vAlign w:val="center"/>
          </w:tcPr>
          <w:p w14:paraId="120A2969">
            <w:pPr>
              <w:spacing w:after="0" w:line="240" w:lineRule="auto"/>
              <w:jc w:val="center"/>
            </w:pPr>
            <w:r>
              <w:rPr>
                <w:rFonts w:ascii="Times New Roman" w:hAnsi="Times New Roman" w:eastAsia="宋体"/>
                <w:b/>
                <w:i w:val="0"/>
                <w:sz w:val="18"/>
              </w:rPr>
              <w:t>FG IoU ↑</w:t>
            </w:r>
          </w:p>
        </w:tc>
        <w:tc>
          <w:tcPr>
            <w:tcW w:w="1656" w:type="dxa"/>
            <w:shd w:val="clear" w:color="auto" w:fill="D9EAF7"/>
            <w:vAlign w:val="center"/>
          </w:tcPr>
          <w:p w14:paraId="05460C2D">
            <w:pPr>
              <w:spacing w:after="0" w:line="240" w:lineRule="auto"/>
              <w:jc w:val="center"/>
            </w:pPr>
            <w:r>
              <w:rPr>
                <w:rFonts w:ascii="Times New Roman" w:hAnsi="Times New Roman" w:eastAsia="宋体"/>
                <w:b/>
                <w:i w:val="0"/>
                <w:sz w:val="18"/>
              </w:rPr>
              <w:t>PiB ↑</w:t>
            </w:r>
          </w:p>
        </w:tc>
        <w:tc>
          <w:tcPr>
            <w:tcW w:w="1656" w:type="dxa"/>
            <w:shd w:val="clear" w:color="auto" w:fill="D9EAF7"/>
            <w:vAlign w:val="center"/>
          </w:tcPr>
          <w:p w14:paraId="32F4FDDA">
            <w:pPr>
              <w:spacing w:after="0" w:line="240" w:lineRule="auto"/>
              <w:jc w:val="center"/>
            </w:pPr>
            <w:r>
              <w:rPr>
                <w:rFonts w:ascii="Times New Roman" w:hAnsi="Times New Roman" w:eastAsia="宋体"/>
                <w:b/>
                <w:i w:val="0"/>
                <w:sz w:val="18"/>
              </w:rPr>
              <w:t>预测前景比例</w:t>
            </w:r>
          </w:p>
        </w:tc>
        <w:tc>
          <w:tcPr>
            <w:tcW w:w="1656" w:type="dxa"/>
            <w:shd w:val="clear" w:color="auto" w:fill="D9EAF7"/>
            <w:vAlign w:val="center"/>
          </w:tcPr>
          <w:p w14:paraId="3FD33E68">
            <w:pPr>
              <w:spacing w:after="0" w:line="240" w:lineRule="auto"/>
              <w:jc w:val="center"/>
            </w:pPr>
            <w:r>
              <w:rPr>
                <w:rFonts w:ascii="Times New Roman" w:hAnsi="Times New Roman" w:eastAsia="宋体"/>
                <w:b/>
                <w:i w:val="0"/>
                <w:sz w:val="18"/>
              </w:rPr>
              <w:t>Pearson r</w:t>
            </w:r>
          </w:p>
        </w:tc>
      </w:tr>
      <w:tr w14:paraId="47D5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5529C3C">
            <w:pPr>
              <w:spacing w:after="0" w:line="240" w:lineRule="auto"/>
              <w:jc w:val="center"/>
            </w:pPr>
            <w:r>
              <w:rPr>
                <w:rFonts w:ascii="Times New Roman" w:hAnsi="Times New Roman" w:eastAsia="宋体"/>
                <w:b w:val="0"/>
                <w:i w:val="0"/>
                <w:sz w:val="18"/>
              </w:rPr>
              <w:t>稳定背景</w:t>
            </w:r>
          </w:p>
        </w:tc>
        <w:tc>
          <w:tcPr>
            <w:tcW w:w="1656" w:type="dxa"/>
            <w:vAlign w:val="center"/>
          </w:tcPr>
          <w:p w14:paraId="2AC4097E">
            <w:pPr>
              <w:spacing w:after="0" w:line="240" w:lineRule="auto"/>
              <w:jc w:val="center"/>
            </w:pPr>
            <w:r>
              <w:rPr>
                <w:rFonts w:ascii="Times New Roman" w:hAnsi="Times New Roman" w:eastAsia="宋体"/>
                <w:b w:val="0"/>
                <w:i w:val="0"/>
                <w:sz w:val="18"/>
              </w:rPr>
              <w:t>551</w:t>
            </w:r>
          </w:p>
        </w:tc>
        <w:tc>
          <w:tcPr>
            <w:tcW w:w="1656" w:type="dxa"/>
            <w:vAlign w:val="center"/>
          </w:tcPr>
          <w:p w14:paraId="781E8651">
            <w:pPr>
              <w:spacing w:after="0" w:line="240" w:lineRule="auto"/>
              <w:jc w:val="center"/>
            </w:pPr>
            <w:r>
              <w:rPr>
                <w:rFonts w:ascii="Times New Roman" w:hAnsi="Times New Roman" w:eastAsia="宋体"/>
                <w:b w:val="0"/>
                <w:i w:val="0"/>
                <w:sz w:val="18"/>
              </w:rPr>
              <w:t>13.02</w:t>
            </w:r>
          </w:p>
        </w:tc>
        <w:tc>
          <w:tcPr>
            <w:tcW w:w="1656" w:type="dxa"/>
            <w:vAlign w:val="center"/>
          </w:tcPr>
          <w:p w14:paraId="528B9CDF">
            <w:pPr>
              <w:spacing w:after="0" w:line="240" w:lineRule="auto"/>
              <w:jc w:val="center"/>
            </w:pPr>
            <w:r>
              <w:rPr>
                <w:rFonts w:ascii="Times New Roman" w:hAnsi="Times New Roman" w:eastAsia="宋体"/>
                <w:b w:val="0"/>
                <w:i w:val="0"/>
                <w:sz w:val="18"/>
              </w:rPr>
              <w:t>20.87</w:t>
            </w:r>
          </w:p>
        </w:tc>
        <w:tc>
          <w:tcPr>
            <w:tcW w:w="1656" w:type="dxa"/>
            <w:vAlign w:val="center"/>
          </w:tcPr>
          <w:p w14:paraId="4155DA55">
            <w:pPr>
              <w:spacing w:after="0" w:line="240" w:lineRule="auto"/>
              <w:jc w:val="center"/>
            </w:pPr>
            <w:r>
              <w:rPr>
                <w:rFonts w:ascii="Times New Roman" w:hAnsi="Times New Roman" w:eastAsia="宋体"/>
                <w:b w:val="0"/>
                <w:i w:val="0"/>
                <w:sz w:val="18"/>
              </w:rPr>
              <w:t>0.48</w:t>
            </w:r>
          </w:p>
        </w:tc>
        <w:tc>
          <w:tcPr>
            <w:tcW w:w="1656" w:type="dxa"/>
            <w:vAlign w:val="center"/>
          </w:tcPr>
          <w:p w14:paraId="72432857">
            <w:pPr>
              <w:spacing w:after="0" w:line="240" w:lineRule="auto"/>
              <w:jc w:val="center"/>
            </w:pPr>
            <w:r>
              <w:rPr>
                <w:rFonts w:ascii="Times New Roman" w:hAnsi="Times New Roman" w:eastAsia="宋体"/>
                <w:b w:val="0"/>
                <w:i w:val="0"/>
                <w:sz w:val="18"/>
              </w:rPr>
              <w:t>0.394</w:t>
            </w:r>
          </w:p>
        </w:tc>
      </w:tr>
      <w:tr w14:paraId="7203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D3C74E8">
            <w:pPr>
              <w:spacing w:after="0" w:line="240" w:lineRule="auto"/>
              <w:jc w:val="center"/>
            </w:pPr>
            <w:r>
              <w:rPr>
                <w:rFonts w:ascii="Times New Roman" w:hAnsi="Times New Roman" w:eastAsia="宋体"/>
                <w:b w:val="0"/>
                <w:i w:val="0"/>
                <w:sz w:val="18"/>
              </w:rPr>
              <w:t>纹理前景</w:t>
            </w:r>
          </w:p>
        </w:tc>
        <w:tc>
          <w:tcPr>
            <w:tcW w:w="1656" w:type="dxa"/>
            <w:vAlign w:val="center"/>
          </w:tcPr>
          <w:p w14:paraId="1314CC70">
            <w:pPr>
              <w:spacing w:after="0" w:line="240" w:lineRule="auto"/>
              <w:jc w:val="center"/>
            </w:pPr>
            <w:r>
              <w:rPr>
                <w:rFonts w:ascii="Times New Roman" w:hAnsi="Times New Roman" w:eastAsia="宋体"/>
                <w:b w:val="0"/>
                <w:i w:val="0"/>
                <w:sz w:val="18"/>
              </w:rPr>
              <w:t>898</w:t>
            </w:r>
          </w:p>
        </w:tc>
        <w:tc>
          <w:tcPr>
            <w:tcW w:w="1656" w:type="dxa"/>
            <w:vAlign w:val="center"/>
          </w:tcPr>
          <w:p w14:paraId="29CC49A9">
            <w:pPr>
              <w:spacing w:after="0" w:line="240" w:lineRule="auto"/>
              <w:jc w:val="center"/>
            </w:pPr>
            <w:r>
              <w:rPr>
                <w:rFonts w:ascii="Times New Roman" w:hAnsi="Times New Roman" w:eastAsia="宋体"/>
                <w:b w:val="0"/>
                <w:i w:val="0"/>
                <w:sz w:val="18"/>
              </w:rPr>
              <w:t>34.42</w:t>
            </w:r>
          </w:p>
        </w:tc>
        <w:tc>
          <w:tcPr>
            <w:tcW w:w="1656" w:type="dxa"/>
            <w:vAlign w:val="center"/>
          </w:tcPr>
          <w:p w14:paraId="2923E66A">
            <w:pPr>
              <w:spacing w:after="0" w:line="240" w:lineRule="auto"/>
              <w:jc w:val="center"/>
            </w:pPr>
            <w:r>
              <w:rPr>
                <w:rFonts w:ascii="Times New Roman" w:hAnsi="Times New Roman" w:eastAsia="宋体"/>
                <w:b w:val="0"/>
                <w:i w:val="0"/>
                <w:sz w:val="18"/>
              </w:rPr>
              <w:t>43.88</w:t>
            </w:r>
          </w:p>
        </w:tc>
        <w:tc>
          <w:tcPr>
            <w:tcW w:w="1656" w:type="dxa"/>
            <w:vAlign w:val="center"/>
          </w:tcPr>
          <w:p w14:paraId="0FD235AF">
            <w:pPr>
              <w:spacing w:after="0" w:line="240" w:lineRule="auto"/>
              <w:jc w:val="center"/>
            </w:pPr>
            <w:r>
              <w:rPr>
                <w:rFonts w:ascii="Times New Roman" w:hAnsi="Times New Roman" w:eastAsia="宋体"/>
                <w:b w:val="0"/>
                <w:i w:val="0"/>
                <w:sz w:val="18"/>
              </w:rPr>
              <w:t>0.59</w:t>
            </w:r>
          </w:p>
        </w:tc>
        <w:tc>
          <w:tcPr>
            <w:tcW w:w="1656" w:type="dxa"/>
            <w:vAlign w:val="center"/>
          </w:tcPr>
          <w:p w14:paraId="68F7A9DC">
            <w:pPr>
              <w:spacing w:after="0" w:line="240" w:lineRule="auto"/>
              <w:jc w:val="center"/>
            </w:pPr>
            <w:r>
              <w:rPr>
                <w:rFonts w:ascii="Times New Roman" w:hAnsi="Times New Roman" w:eastAsia="宋体"/>
                <w:b w:val="0"/>
                <w:i w:val="0"/>
                <w:sz w:val="18"/>
              </w:rPr>
              <w:t>0.635</w:t>
            </w:r>
          </w:p>
        </w:tc>
      </w:tr>
      <w:tr w14:paraId="3AA4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4DB4292">
            <w:pPr>
              <w:spacing w:after="0" w:line="240" w:lineRule="auto"/>
              <w:jc w:val="center"/>
            </w:pPr>
            <w:r>
              <w:rPr>
                <w:rFonts w:ascii="Times New Roman" w:hAnsi="Times New Roman" w:eastAsia="宋体"/>
                <w:b w:val="0"/>
                <w:i w:val="0"/>
                <w:sz w:val="18"/>
              </w:rPr>
              <w:t>小目标（&lt;10% 面积）</w:t>
            </w:r>
          </w:p>
        </w:tc>
        <w:tc>
          <w:tcPr>
            <w:tcW w:w="1656" w:type="dxa"/>
            <w:vAlign w:val="center"/>
          </w:tcPr>
          <w:p w14:paraId="5F6728AE">
            <w:pPr>
              <w:spacing w:after="0" w:line="240" w:lineRule="auto"/>
              <w:jc w:val="center"/>
            </w:pPr>
            <w:r>
              <w:rPr>
                <w:rFonts w:ascii="Times New Roman" w:hAnsi="Times New Roman" w:eastAsia="宋体"/>
                <w:b w:val="0"/>
                <w:i w:val="0"/>
                <w:sz w:val="18"/>
              </w:rPr>
              <w:t>450</w:t>
            </w:r>
          </w:p>
        </w:tc>
        <w:tc>
          <w:tcPr>
            <w:tcW w:w="1656" w:type="dxa"/>
            <w:vAlign w:val="center"/>
          </w:tcPr>
          <w:p w14:paraId="2EFCB006">
            <w:pPr>
              <w:spacing w:after="0" w:line="240" w:lineRule="auto"/>
              <w:jc w:val="center"/>
            </w:pPr>
            <w:r>
              <w:rPr>
                <w:rFonts w:ascii="Times New Roman" w:hAnsi="Times New Roman" w:eastAsia="宋体"/>
                <w:b w:val="0"/>
                <w:i w:val="0"/>
                <w:sz w:val="18"/>
              </w:rPr>
              <w:t>26.92</w:t>
            </w:r>
          </w:p>
        </w:tc>
        <w:tc>
          <w:tcPr>
            <w:tcW w:w="1656" w:type="dxa"/>
            <w:vAlign w:val="center"/>
          </w:tcPr>
          <w:p w14:paraId="379BCF4F">
            <w:pPr>
              <w:spacing w:after="0" w:line="240" w:lineRule="auto"/>
              <w:jc w:val="center"/>
            </w:pPr>
            <w:r>
              <w:rPr>
                <w:rFonts w:ascii="Times New Roman" w:hAnsi="Times New Roman" w:eastAsia="宋体"/>
                <w:b w:val="0"/>
                <w:i w:val="0"/>
                <w:sz w:val="18"/>
              </w:rPr>
              <w:t>34.67</w:t>
            </w:r>
          </w:p>
        </w:tc>
        <w:tc>
          <w:tcPr>
            <w:tcW w:w="1656" w:type="dxa"/>
            <w:vAlign w:val="center"/>
          </w:tcPr>
          <w:p w14:paraId="4794A42B">
            <w:pPr>
              <w:spacing w:after="0" w:line="240" w:lineRule="auto"/>
              <w:jc w:val="center"/>
            </w:pPr>
            <w:r>
              <w:rPr>
                <w:rFonts w:ascii="Times New Roman" w:hAnsi="Times New Roman" w:eastAsia="宋体"/>
                <w:b w:val="0"/>
                <w:i w:val="0"/>
                <w:sz w:val="18"/>
              </w:rPr>
              <w:t>0.55</w:t>
            </w:r>
          </w:p>
        </w:tc>
        <w:tc>
          <w:tcPr>
            <w:tcW w:w="1656" w:type="dxa"/>
            <w:vAlign w:val="center"/>
          </w:tcPr>
          <w:p w14:paraId="2199D76C">
            <w:pPr>
              <w:spacing w:after="0" w:line="240" w:lineRule="auto"/>
              <w:jc w:val="center"/>
            </w:pPr>
            <w:r>
              <w:rPr>
                <w:rFonts w:ascii="Times New Roman" w:hAnsi="Times New Roman" w:eastAsia="宋体"/>
                <w:b w:val="0"/>
                <w:i w:val="0"/>
                <w:sz w:val="18"/>
              </w:rPr>
              <w:t>0.645</w:t>
            </w:r>
          </w:p>
        </w:tc>
      </w:tr>
      <w:tr w14:paraId="2EC9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5D3836F">
            <w:pPr>
              <w:spacing w:after="0" w:line="240" w:lineRule="auto"/>
              <w:jc w:val="center"/>
            </w:pPr>
            <w:r>
              <w:rPr>
                <w:rFonts w:ascii="Times New Roman" w:hAnsi="Times New Roman" w:eastAsia="宋体"/>
                <w:b w:val="0"/>
                <w:i w:val="0"/>
                <w:sz w:val="18"/>
              </w:rPr>
              <w:t>多目标（≥3 个实例）</w:t>
            </w:r>
          </w:p>
        </w:tc>
        <w:tc>
          <w:tcPr>
            <w:tcW w:w="1656" w:type="dxa"/>
            <w:vAlign w:val="center"/>
          </w:tcPr>
          <w:p w14:paraId="5EE593F0">
            <w:pPr>
              <w:spacing w:after="0" w:line="240" w:lineRule="auto"/>
              <w:jc w:val="center"/>
            </w:pPr>
            <w:r>
              <w:rPr>
                <w:rFonts w:ascii="Times New Roman" w:hAnsi="Times New Roman" w:eastAsia="宋体"/>
                <w:b w:val="0"/>
                <w:i w:val="0"/>
                <w:sz w:val="18"/>
              </w:rPr>
              <w:t>436</w:t>
            </w:r>
          </w:p>
        </w:tc>
        <w:tc>
          <w:tcPr>
            <w:tcW w:w="1656" w:type="dxa"/>
            <w:vAlign w:val="center"/>
          </w:tcPr>
          <w:p w14:paraId="44433831">
            <w:pPr>
              <w:spacing w:after="0" w:line="240" w:lineRule="auto"/>
              <w:jc w:val="center"/>
            </w:pPr>
            <w:r>
              <w:rPr>
                <w:rFonts w:ascii="Times New Roman" w:hAnsi="Times New Roman" w:eastAsia="宋体"/>
                <w:b w:val="0"/>
                <w:i w:val="0"/>
                <w:sz w:val="18"/>
              </w:rPr>
              <w:t>36.19</w:t>
            </w:r>
          </w:p>
        </w:tc>
        <w:tc>
          <w:tcPr>
            <w:tcW w:w="1656" w:type="dxa"/>
            <w:vAlign w:val="center"/>
          </w:tcPr>
          <w:p w14:paraId="3586E27D">
            <w:pPr>
              <w:spacing w:after="0" w:line="240" w:lineRule="auto"/>
              <w:jc w:val="center"/>
            </w:pPr>
            <w:r>
              <w:rPr>
                <w:rFonts w:ascii="Times New Roman" w:hAnsi="Times New Roman" w:eastAsia="宋体"/>
                <w:b w:val="0"/>
                <w:i w:val="0"/>
                <w:sz w:val="18"/>
              </w:rPr>
              <w:t>43.12</w:t>
            </w:r>
          </w:p>
        </w:tc>
        <w:tc>
          <w:tcPr>
            <w:tcW w:w="1656" w:type="dxa"/>
            <w:vAlign w:val="center"/>
          </w:tcPr>
          <w:p w14:paraId="2CF9A029">
            <w:pPr>
              <w:spacing w:after="0" w:line="240" w:lineRule="auto"/>
              <w:jc w:val="center"/>
            </w:pPr>
            <w:r>
              <w:rPr>
                <w:rFonts w:ascii="Times New Roman" w:hAnsi="Times New Roman" w:eastAsia="宋体"/>
                <w:b w:val="0"/>
                <w:i w:val="0"/>
                <w:sz w:val="18"/>
              </w:rPr>
              <w:t>0.6</w:t>
            </w:r>
          </w:p>
        </w:tc>
        <w:tc>
          <w:tcPr>
            <w:tcW w:w="1656" w:type="dxa"/>
            <w:vAlign w:val="center"/>
          </w:tcPr>
          <w:p w14:paraId="490C3F48">
            <w:pPr>
              <w:spacing w:after="0" w:line="240" w:lineRule="auto"/>
              <w:jc w:val="center"/>
            </w:pPr>
            <w:r>
              <w:rPr>
                <w:rFonts w:ascii="Times New Roman" w:hAnsi="Times New Roman" w:eastAsia="宋体"/>
                <w:b w:val="0"/>
                <w:i w:val="0"/>
                <w:sz w:val="18"/>
              </w:rPr>
              <w:t>0.605</w:t>
            </w:r>
          </w:p>
        </w:tc>
      </w:tr>
    </w:tbl>
    <w:p w14:paraId="0FEDF2D5"/>
    <w:p w14:paraId="3EB3E894">
      <w:pPr>
        <w:spacing w:after="60" w:line="276" w:lineRule="auto"/>
        <w:ind w:firstLine="420"/>
      </w:pPr>
      <w:r>
        <w:rPr>
          <w:rFonts w:ascii="Times New Roman" w:hAnsi="Times New Roman" w:eastAsia="宋体"/>
          <w:b w:val="0"/>
          <w:i w:val="0"/>
          <w:sz w:val="21"/>
        </w:rPr>
        <w:t>稳定背景是模型的薄弱环节。如第四节 D 的讨论以及图 3 所示，由光滑、低纹理区域主导的图像出现最严重退化。表 VI 对此进行了量化：FG IoU 降至 13.02%，PiB 降至 20.87%。根本原因在于架构层面：频率稳定性线索被设计用于通过 FFT 低通滤波识别稳定前景图像块，但它无法区分光滑前景目标与光滑背景区域，因为二者都会产生相似的低频激活模式。因此模型在这些场景中会过度预测前景，预测比例为 0.48，而真实比例通常低于 0.20。缓解这一失败模式需要显式高频拒绝线索或学习到的背景先验头，这是后续工作的可能方向。</w:t>
      </w:r>
    </w:p>
    <w:p w14:paraId="0999811C">
      <w:pPr>
        <w:spacing w:after="60" w:line="276" w:lineRule="auto"/>
        <w:ind w:firstLine="420"/>
      </w:pPr>
      <w:r>
        <w:rPr>
          <w:rFonts w:ascii="Times New Roman" w:hAnsi="Times New Roman" w:eastAsia="宋体"/>
          <w:b w:val="0"/>
          <w:i w:val="0"/>
          <w:sz w:val="21"/>
        </w:rPr>
        <w:t>纹理目标和多目标场景效果最好。模型在纹理前景子集上达到 34.42% 的 FG IoU，在多目标场景上达到 36.19%，说明高频纹理线索能够提供强判别信号。</w:t>
      </w:r>
    </w:p>
    <w:p w14:paraId="79EC6CB9">
      <w:pPr>
        <w:spacing w:after="60" w:line="276" w:lineRule="auto"/>
        <w:ind w:firstLine="420"/>
      </w:pPr>
      <w:r>
        <w:rPr>
          <w:rFonts w:ascii="Times New Roman" w:hAnsi="Times New Roman" w:eastAsia="宋体"/>
          <w:b w:val="0"/>
          <w:i w:val="0"/>
          <w:sz w:val="21"/>
        </w:rPr>
        <w:t>小目标受限于空间分辨率。ViT-S/16 在 224×224 输入下形成 16×16 的图像块网格，只能提供粗粒度空间划分。面积小于图像 10% 的目标通常最多对应 3—4 个图像块，使得自适应掩码缺乏足够空间分辨率来精确刻画边界。</w:t>
      </w:r>
    </w:p>
    <w:p w14:paraId="7672A816">
      <w:pPr>
        <w:spacing w:after="60" w:line="276" w:lineRule="auto"/>
        <w:ind w:firstLine="420"/>
      </w:pPr>
      <w:r>
        <w:rPr>
          <w:rFonts w:ascii="Times New Roman" w:hAnsi="Times New Roman" w:eastAsia="宋体"/>
          <w:b w:val="0"/>
          <w:i w:val="0"/>
          <w:sz w:val="21"/>
        </w:rPr>
        <w:t>预测前景比例在所有子集上都集中在 0.48—0.60 附近，与真实前景比例关系有限，Pearson r 仅为 0.394—0.645。这说明当前自适应预算模块更多学习到的是数据集级先验，而不是完全的图像条件自适应。改进图像条件阈值预测是一个有前景的后续方向。</w:t>
      </w:r>
    </w:p>
    <w:p w14:paraId="4AA80F7D">
      <w:pPr>
        <w:spacing w:before="160" w:after="80"/>
      </w:pPr>
      <w:r>
        <w:rPr>
          <w:rFonts w:ascii="Times New Roman" w:hAnsi="Times New Roman" w:eastAsia="宋体"/>
          <w:b/>
          <w:i w:val="0"/>
          <w:sz w:val="24"/>
        </w:rPr>
        <w:t>F. 效率分析</w:t>
      </w:r>
    </w:p>
    <w:p w14:paraId="16101629">
      <w:pPr>
        <w:spacing w:after="60" w:line="276" w:lineRule="auto"/>
        <w:ind w:firstLine="420"/>
      </w:pPr>
      <w:r>
        <w:rPr>
          <w:rFonts w:ascii="Times New Roman" w:hAnsi="Times New Roman" w:eastAsia="宋体"/>
          <w:b w:val="0"/>
          <w:i w:val="0"/>
          <w:sz w:val="21"/>
        </w:rPr>
        <w:t>表 VII 报告了 DAFB-CLS 相对于骨干基线和 LaSt-ViT 的参数量、FLOPs、推理延迟和 GPU 显存。所有测量均采用 batch size 为 1、输入尺寸为 224×224，并在 NVIDIA RTX 4070 Laptop GPU 上进行 100 次运行取平均。</w:t>
      </w:r>
    </w:p>
    <w:p w14:paraId="0E2E91D6">
      <w:pPr>
        <w:jc w:val="center"/>
      </w:pPr>
      <w:r>
        <w:drawing>
          <wp:inline distT="0" distB="0" distL="114300" distR="114300">
            <wp:extent cx="5669280" cy="4529455"/>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4529477"/>
                    </a:xfrm>
                    <a:prstGeom prst="rect">
                      <a:avLst/>
                    </a:prstGeom>
                  </pic:spPr>
                </pic:pic>
              </a:graphicData>
            </a:graphic>
          </wp:inline>
        </w:drawing>
      </w:r>
    </w:p>
    <w:p w14:paraId="330452AD">
      <w:pPr>
        <w:spacing w:after="60" w:line="276" w:lineRule="auto"/>
        <w:jc w:val="center"/>
      </w:pPr>
      <w:r>
        <w:rPr>
          <w:rFonts w:ascii="Times New Roman" w:hAnsi="Times New Roman" w:eastAsia="宋体"/>
          <w:b w:val="0"/>
          <w:i w:val="0"/>
          <w:sz w:val="19"/>
        </w:rPr>
        <w:t>图 5. 效率分析。图中比较了 DINO ViT-S/16 和 OpenCLIP ViT-B/16 两种骨干网络下，骨干基线、LaSt-ViT 与 DAFB-CLS 的效率。</w:t>
      </w:r>
    </w:p>
    <w:p w14:paraId="7EDBE0BC">
      <w:pPr>
        <w:spacing w:after="60" w:line="276" w:lineRule="auto"/>
        <w:jc w:val="center"/>
      </w:pPr>
      <w:r>
        <w:rPr>
          <w:rFonts w:ascii="Times New Roman" w:hAnsi="Times New Roman" w:eastAsia="宋体"/>
          <w:b/>
          <w:i w:val="0"/>
          <w:sz w:val="21"/>
        </w:rPr>
        <w:t>表 VII. 效率比较（RTX 4070 Laptop，bs=1，224×224）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42"/>
        <w:gridCol w:w="1242"/>
        <w:gridCol w:w="1242"/>
        <w:gridCol w:w="1242"/>
        <w:gridCol w:w="1242"/>
        <w:gridCol w:w="1242"/>
        <w:gridCol w:w="1242"/>
      </w:tblGrid>
      <w:tr w14:paraId="35B0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D9EAF7"/>
            <w:vAlign w:val="center"/>
          </w:tcPr>
          <w:p w14:paraId="544F472A">
            <w:pPr>
              <w:spacing w:after="0" w:line="240" w:lineRule="auto"/>
              <w:jc w:val="center"/>
            </w:pPr>
            <w:r>
              <w:rPr>
                <w:rFonts w:ascii="Times New Roman" w:hAnsi="Times New Roman" w:eastAsia="宋体"/>
                <w:b/>
                <w:i w:val="0"/>
                <w:sz w:val="18"/>
              </w:rPr>
              <w:t>方法</w:t>
            </w:r>
          </w:p>
        </w:tc>
        <w:tc>
          <w:tcPr>
            <w:tcW w:w="1242" w:type="dxa"/>
            <w:shd w:val="clear" w:color="auto" w:fill="D9EAF7"/>
            <w:vAlign w:val="center"/>
          </w:tcPr>
          <w:p w14:paraId="23B5E391">
            <w:pPr>
              <w:spacing w:after="0" w:line="240" w:lineRule="auto"/>
              <w:jc w:val="center"/>
            </w:pPr>
            <w:r>
              <w:rPr>
                <w:rFonts w:ascii="Times New Roman" w:hAnsi="Times New Roman" w:eastAsia="宋体"/>
                <w:b/>
                <w:i w:val="0"/>
                <w:sz w:val="18"/>
              </w:rPr>
              <w:t>骨干网络</w:t>
            </w:r>
          </w:p>
        </w:tc>
        <w:tc>
          <w:tcPr>
            <w:tcW w:w="1242" w:type="dxa"/>
            <w:shd w:val="clear" w:color="auto" w:fill="D9EAF7"/>
            <w:vAlign w:val="center"/>
          </w:tcPr>
          <w:p w14:paraId="3E6B8D45">
            <w:pPr>
              <w:spacing w:after="0" w:line="240" w:lineRule="auto"/>
              <w:jc w:val="center"/>
            </w:pPr>
            <w:r>
              <w:rPr>
                <w:rFonts w:ascii="Times New Roman" w:hAnsi="Times New Roman" w:eastAsia="宋体"/>
                <w:b/>
                <w:i w:val="0"/>
                <w:sz w:val="18"/>
              </w:rPr>
              <w:t>总参数量（M）</w:t>
            </w:r>
          </w:p>
        </w:tc>
        <w:tc>
          <w:tcPr>
            <w:tcW w:w="1242" w:type="dxa"/>
            <w:shd w:val="clear" w:color="auto" w:fill="D9EAF7"/>
            <w:vAlign w:val="center"/>
          </w:tcPr>
          <w:p w14:paraId="77E7BCA1">
            <w:pPr>
              <w:spacing w:after="0" w:line="240" w:lineRule="auto"/>
              <w:jc w:val="center"/>
            </w:pPr>
            <w:r>
              <w:rPr>
                <w:rFonts w:ascii="Times New Roman" w:hAnsi="Times New Roman" w:eastAsia="宋体"/>
                <w:b/>
                <w:i w:val="0"/>
                <w:sz w:val="18"/>
              </w:rPr>
              <w:t>可训练参数（M）</w:t>
            </w:r>
          </w:p>
        </w:tc>
        <w:tc>
          <w:tcPr>
            <w:tcW w:w="1242" w:type="dxa"/>
            <w:shd w:val="clear" w:color="auto" w:fill="D9EAF7"/>
            <w:vAlign w:val="center"/>
          </w:tcPr>
          <w:p w14:paraId="5946C499">
            <w:pPr>
              <w:spacing w:after="0" w:line="240" w:lineRule="auto"/>
              <w:jc w:val="center"/>
            </w:pPr>
            <w:r>
              <w:rPr>
                <w:rFonts w:ascii="Times New Roman" w:hAnsi="Times New Roman" w:eastAsia="宋体"/>
                <w:b/>
                <w:i w:val="0"/>
                <w:sz w:val="18"/>
              </w:rPr>
              <w:t>FLOPs（G）</w:t>
            </w:r>
          </w:p>
        </w:tc>
        <w:tc>
          <w:tcPr>
            <w:tcW w:w="1242" w:type="dxa"/>
            <w:shd w:val="clear" w:color="auto" w:fill="D9EAF7"/>
            <w:vAlign w:val="center"/>
          </w:tcPr>
          <w:p w14:paraId="721EAA2C">
            <w:pPr>
              <w:spacing w:after="0" w:line="240" w:lineRule="auto"/>
              <w:jc w:val="center"/>
            </w:pPr>
            <w:r>
              <w:rPr>
                <w:rFonts w:ascii="Times New Roman" w:hAnsi="Times New Roman" w:eastAsia="宋体"/>
                <w:b/>
                <w:i w:val="0"/>
                <w:sz w:val="18"/>
              </w:rPr>
              <w:t>延迟（ms）</w:t>
            </w:r>
          </w:p>
        </w:tc>
        <w:tc>
          <w:tcPr>
            <w:tcW w:w="1242" w:type="dxa"/>
            <w:shd w:val="clear" w:color="auto" w:fill="D9EAF7"/>
            <w:vAlign w:val="center"/>
          </w:tcPr>
          <w:p w14:paraId="7700FA9F">
            <w:pPr>
              <w:spacing w:after="0" w:line="240" w:lineRule="auto"/>
              <w:jc w:val="center"/>
            </w:pPr>
            <w:r>
              <w:rPr>
                <w:rFonts w:ascii="Times New Roman" w:hAnsi="Times New Roman" w:eastAsia="宋体"/>
                <w:b/>
                <w:i w:val="0"/>
                <w:sz w:val="18"/>
              </w:rPr>
              <w:t>显存（MB）</w:t>
            </w:r>
          </w:p>
        </w:tc>
        <w:tc>
          <w:tcPr>
            <w:tcW w:w="1242" w:type="dxa"/>
            <w:shd w:val="clear" w:color="auto" w:fill="D9EAF7"/>
            <w:vAlign w:val="center"/>
          </w:tcPr>
          <w:p w14:paraId="37C81041">
            <w:pPr>
              <w:spacing w:after="0" w:line="240" w:lineRule="auto"/>
              <w:jc w:val="center"/>
            </w:pPr>
            <w:r>
              <w:rPr>
                <w:rFonts w:ascii="Times New Roman" w:hAnsi="Times New Roman" w:eastAsia="宋体"/>
                <w:b/>
                <w:i w:val="0"/>
                <w:sz w:val="18"/>
              </w:rPr>
              <w:t>开销</w:t>
            </w:r>
          </w:p>
        </w:tc>
      </w:tr>
      <w:tr w14:paraId="5EC2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B328555">
            <w:pPr>
              <w:spacing w:after="0" w:line="240" w:lineRule="auto"/>
              <w:jc w:val="center"/>
            </w:pPr>
            <w:r>
              <w:rPr>
                <w:rFonts w:ascii="Times New Roman" w:hAnsi="Times New Roman" w:eastAsia="宋体"/>
                <w:b w:val="0"/>
                <w:i w:val="0"/>
                <w:sz w:val="18"/>
              </w:rPr>
              <w:t>Baseline</w:t>
            </w:r>
          </w:p>
        </w:tc>
        <w:tc>
          <w:tcPr>
            <w:tcW w:w="1242" w:type="dxa"/>
            <w:vAlign w:val="center"/>
          </w:tcPr>
          <w:p w14:paraId="04F740DB">
            <w:pPr>
              <w:spacing w:after="0" w:line="240" w:lineRule="auto"/>
              <w:jc w:val="center"/>
            </w:pPr>
            <w:r>
              <w:rPr>
                <w:rFonts w:ascii="Times New Roman" w:hAnsi="Times New Roman" w:eastAsia="宋体"/>
                <w:b w:val="0"/>
                <w:i w:val="0"/>
                <w:sz w:val="18"/>
              </w:rPr>
              <w:t>DINO-S</w:t>
            </w:r>
          </w:p>
        </w:tc>
        <w:tc>
          <w:tcPr>
            <w:tcW w:w="1242" w:type="dxa"/>
            <w:vAlign w:val="center"/>
          </w:tcPr>
          <w:p w14:paraId="29F5E3FB">
            <w:pPr>
              <w:spacing w:after="0" w:line="240" w:lineRule="auto"/>
              <w:jc w:val="center"/>
            </w:pPr>
            <w:r>
              <w:rPr>
                <w:rFonts w:ascii="Times New Roman" w:hAnsi="Times New Roman" w:eastAsia="宋体"/>
                <w:b w:val="0"/>
                <w:i w:val="0"/>
                <w:sz w:val="18"/>
              </w:rPr>
              <w:t>21.67</w:t>
            </w:r>
          </w:p>
        </w:tc>
        <w:tc>
          <w:tcPr>
            <w:tcW w:w="1242" w:type="dxa"/>
            <w:vAlign w:val="center"/>
          </w:tcPr>
          <w:p w14:paraId="092E46BD">
            <w:pPr>
              <w:spacing w:after="0" w:line="240" w:lineRule="auto"/>
              <w:jc w:val="center"/>
            </w:pPr>
            <w:r>
              <w:rPr>
                <w:rFonts w:ascii="Times New Roman" w:hAnsi="Times New Roman" w:eastAsia="宋体"/>
                <w:b w:val="0"/>
                <w:i w:val="0"/>
                <w:sz w:val="18"/>
              </w:rPr>
              <w:t>0.0004</w:t>
            </w:r>
          </w:p>
        </w:tc>
        <w:tc>
          <w:tcPr>
            <w:tcW w:w="1242" w:type="dxa"/>
            <w:vAlign w:val="center"/>
          </w:tcPr>
          <w:p w14:paraId="69C9DFB3">
            <w:pPr>
              <w:spacing w:after="0" w:line="240" w:lineRule="auto"/>
              <w:jc w:val="center"/>
            </w:pPr>
            <w:r>
              <w:rPr>
                <w:rFonts w:ascii="Times New Roman" w:hAnsi="Times New Roman" w:eastAsia="宋体"/>
                <w:b w:val="0"/>
                <w:i w:val="0"/>
                <w:sz w:val="18"/>
              </w:rPr>
              <w:t>4.25</w:t>
            </w:r>
          </w:p>
        </w:tc>
        <w:tc>
          <w:tcPr>
            <w:tcW w:w="1242" w:type="dxa"/>
            <w:vAlign w:val="center"/>
          </w:tcPr>
          <w:p w14:paraId="2C5310E9">
            <w:pPr>
              <w:spacing w:after="0" w:line="240" w:lineRule="auto"/>
              <w:jc w:val="center"/>
            </w:pPr>
            <w:r>
              <w:rPr>
                <w:rFonts w:ascii="Times New Roman" w:hAnsi="Times New Roman" w:eastAsia="宋体"/>
                <w:b w:val="0"/>
                <w:i w:val="0"/>
                <w:sz w:val="18"/>
              </w:rPr>
              <w:t>5.9</w:t>
            </w:r>
          </w:p>
        </w:tc>
        <w:tc>
          <w:tcPr>
            <w:tcW w:w="1242" w:type="dxa"/>
            <w:vAlign w:val="center"/>
          </w:tcPr>
          <w:p w14:paraId="58303A85">
            <w:pPr>
              <w:spacing w:after="0" w:line="240" w:lineRule="auto"/>
              <w:jc w:val="center"/>
            </w:pPr>
            <w:r>
              <w:rPr>
                <w:rFonts w:ascii="Times New Roman" w:hAnsi="Times New Roman" w:eastAsia="宋体"/>
                <w:b w:val="0"/>
                <w:i w:val="0"/>
                <w:sz w:val="18"/>
              </w:rPr>
              <w:t>97</w:t>
            </w:r>
          </w:p>
        </w:tc>
        <w:tc>
          <w:tcPr>
            <w:tcW w:w="1242" w:type="dxa"/>
            <w:vAlign w:val="center"/>
          </w:tcPr>
          <w:p w14:paraId="0784A6FA">
            <w:pPr>
              <w:spacing w:after="0" w:line="240" w:lineRule="auto"/>
              <w:jc w:val="center"/>
            </w:pPr>
            <w:r>
              <w:rPr>
                <w:rFonts w:ascii="Times New Roman" w:hAnsi="Times New Roman" w:eastAsia="宋体"/>
                <w:b w:val="0"/>
                <w:i w:val="0"/>
                <w:sz w:val="18"/>
              </w:rPr>
              <w:t>—</w:t>
            </w:r>
          </w:p>
        </w:tc>
      </w:tr>
      <w:tr w14:paraId="65BE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3DCE9F49">
            <w:pPr>
              <w:spacing w:after="0" w:line="240" w:lineRule="auto"/>
              <w:jc w:val="center"/>
            </w:pPr>
            <w:r>
              <w:rPr>
                <w:rFonts w:ascii="Times New Roman" w:hAnsi="Times New Roman" w:eastAsia="宋体"/>
                <w:b w:val="0"/>
                <w:i w:val="0"/>
                <w:sz w:val="18"/>
              </w:rPr>
              <w:t>LaSt-ViT</w:t>
            </w:r>
          </w:p>
        </w:tc>
        <w:tc>
          <w:tcPr>
            <w:tcW w:w="1242" w:type="dxa"/>
            <w:vAlign w:val="center"/>
          </w:tcPr>
          <w:p w14:paraId="32067294">
            <w:pPr>
              <w:spacing w:after="0" w:line="240" w:lineRule="auto"/>
              <w:jc w:val="center"/>
            </w:pPr>
            <w:r>
              <w:rPr>
                <w:rFonts w:ascii="Times New Roman" w:hAnsi="Times New Roman" w:eastAsia="宋体"/>
                <w:b w:val="0"/>
                <w:i w:val="0"/>
                <w:sz w:val="18"/>
              </w:rPr>
              <w:t>DINO-S</w:t>
            </w:r>
          </w:p>
        </w:tc>
        <w:tc>
          <w:tcPr>
            <w:tcW w:w="1242" w:type="dxa"/>
            <w:vAlign w:val="center"/>
          </w:tcPr>
          <w:p w14:paraId="0230D424">
            <w:pPr>
              <w:spacing w:after="0" w:line="240" w:lineRule="auto"/>
              <w:jc w:val="center"/>
            </w:pPr>
            <w:r>
              <w:rPr>
                <w:rFonts w:ascii="Times New Roman" w:hAnsi="Times New Roman" w:eastAsia="宋体"/>
                <w:b w:val="0"/>
                <w:i w:val="0"/>
                <w:sz w:val="18"/>
              </w:rPr>
              <w:t>22.25</w:t>
            </w:r>
          </w:p>
        </w:tc>
        <w:tc>
          <w:tcPr>
            <w:tcW w:w="1242" w:type="dxa"/>
            <w:vAlign w:val="center"/>
          </w:tcPr>
          <w:p w14:paraId="614AB2A1">
            <w:pPr>
              <w:spacing w:after="0" w:line="240" w:lineRule="auto"/>
              <w:jc w:val="center"/>
            </w:pPr>
            <w:r>
              <w:rPr>
                <w:rFonts w:ascii="Times New Roman" w:hAnsi="Times New Roman" w:eastAsia="宋体"/>
                <w:b w:val="0"/>
                <w:i w:val="0"/>
                <w:sz w:val="18"/>
              </w:rPr>
              <w:t>0.59</w:t>
            </w:r>
          </w:p>
        </w:tc>
        <w:tc>
          <w:tcPr>
            <w:tcW w:w="1242" w:type="dxa"/>
            <w:vAlign w:val="center"/>
          </w:tcPr>
          <w:p w14:paraId="4A47BB57">
            <w:pPr>
              <w:spacing w:after="0" w:line="240" w:lineRule="auto"/>
              <w:jc w:val="center"/>
            </w:pPr>
            <w:r>
              <w:rPr>
                <w:rFonts w:ascii="Times New Roman" w:hAnsi="Times New Roman" w:eastAsia="宋体"/>
                <w:b w:val="0"/>
                <w:i w:val="0"/>
                <w:sz w:val="18"/>
              </w:rPr>
              <w:t>4.26</w:t>
            </w:r>
          </w:p>
        </w:tc>
        <w:tc>
          <w:tcPr>
            <w:tcW w:w="1242" w:type="dxa"/>
            <w:vAlign w:val="center"/>
          </w:tcPr>
          <w:p w14:paraId="5B1F6A53">
            <w:pPr>
              <w:spacing w:after="0" w:line="240" w:lineRule="auto"/>
              <w:jc w:val="center"/>
            </w:pPr>
            <w:r>
              <w:rPr>
                <w:rFonts w:ascii="Times New Roman" w:hAnsi="Times New Roman" w:eastAsia="宋体"/>
                <w:b w:val="0"/>
                <w:i w:val="0"/>
                <w:sz w:val="18"/>
              </w:rPr>
              <w:t>6.21</w:t>
            </w:r>
          </w:p>
        </w:tc>
        <w:tc>
          <w:tcPr>
            <w:tcW w:w="1242" w:type="dxa"/>
            <w:vAlign w:val="center"/>
          </w:tcPr>
          <w:p w14:paraId="5569AFDA">
            <w:pPr>
              <w:spacing w:after="0" w:line="240" w:lineRule="auto"/>
              <w:jc w:val="center"/>
            </w:pPr>
            <w:r>
              <w:rPr>
                <w:rFonts w:ascii="Times New Roman" w:hAnsi="Times New Roman" w:eastAsia="宋体"/>
                <w:b w:val="0"/>
                <w:i w:val="0"/>
                <w:sz w:val="18"/>
              </w:rPr>
              <w:t>184</w:t>
            </w:r>
          </w:p>
        </w:tc>
        <w:tc>
          <w:tcPr>
            <w:tcW w:w="1242" w:type="dxa"/>
            <w:vAlign w:val="center"/>
          </w:tcPr>
          <w:p w14:paraId="6B95C3EF">
            <w:pPr>
              <w:spacing w:after="0" w:line="240" w:lineRule="auto"/>
              <w:jc w:val="center"/>
            </w:pPr>
            <w:r>
              <w:rPr>
                <w:rFonts w:ascii="Times New Roman" w:hAnsi="Times New Roman" w:eastAsia="宋体"/>
                <w:b w:val="0"/>
                <w:i w:val="0"/>
                <w:sz w:val="18"/>
              </w:rPr>
              <w:t>1.05×</w:t>
            </w:r>
          </w:p>
        </w:tc>
      </w:tr>
      <w:tr w14:paraId="74A4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C1EF874">
            <w:pPr>
              <w:spacing w:after="0" w:line="240" w:lineRule="auto"/>
              <w:jc w:val="center"/>
            </w:pPr>
            <w:r>
              <w:rPr>
                <w:rFonts w:ascii="Times New Roman" w:hAnsi="Times New Roman" w:eastAsia="宋体"/>
                <w:b w:val="0"/>
                <w:i w:val="0"/>
                <w:sz w:val="18"/>
              </w:rPr>
              <w:t>DAFB-CLS</w:t>
            </w:r>
          </w:p>
        </w:tc>
        <w:tc>
          <w:tcPr>
            <w:tcW w:w="1242" w:type="dxa"/>
            <w:vAlign w:val="center"/>
          </w:tcPr>
          <w:p w14:paraId="1A6CAA5F">
            <w:pPr>
              <w:spacing w:after="0" w:line="240" w:lineRule="auto"/>
              <w:jc w:val="center"/>
            </w:pPr>
            <w:r>
              <w:rPr>
                <w:rFonts w:ascii="Times New Roman" w:hAnsi="Times New Roman" w:eastAsia="宋体"/>
                <w:b w:val="0"/>
                <w:i w:val="0"/>
                <w:sz w:val="18"/>
              </w:rPr>
              <w:t>DINO-S</w:t>
            </w:r>
          </w:p>
        </w:tc>
        <w:tc>
          <w:tcPr>
            <w:tcW w:w="1242" w:type="dxa"/>
            <w:vAlign w:val="center"/>
          </w:tcPr>
          <w:p w14:paraId="0B73AFCB">
            <w:pPr>
              <w:spacing w:after="0" w:line="240" w:lineRule="auto"/>
              <w:jc w:val="center"/>
            </w:pPr>
            <w:r>
              <w:rPr>
                <w:rFonts w:ascii="Times New Roman" w:hAnsi="Times New Roman" w:eastAsia="宋体"/>
                <w:b w:val="0"/>
                <w:i w:val="0"/>
                <w:sz w:val="18"/>
              </w:rPr>
              <w:t>22.25</w:t>
            </w:r>
          </w:p>
        </w:tc>
        <w:tc>
          <w:tcPr>
            <w:tcW w:w="1242" w:type="dxa"/>
            <w:vAlign w:val="center"/>
          </w:tcPr>
          <w:p w14:paraId="53D2302A">
            <w:pPr>
              <w:spacing w:after="0" w:line="240" w:lineRule="auto"/>
              <w:jc w:val="center"/>
            </w:pPr>
            <w:r>
              <w:rPr>
                <w:rFonts w:ascii="Times New Roman" w:hAnsi="Times New Roman" w:eastAsia="宋体"/>
                <w:b w:val="0"/>
                <w:i w:val="0"/>
                <w:sz w:val="18"/>
              </w:rPr>
              <w:t>0.59</w:t>
            </w:r>
          </w:p>
        </w:tc>
        <w:tc>
          <w:tcPr>
            <w:tcW w:w="1242" w:type="dxa"/>
            <w:vAlign w:val="center"/>
          </w:tcPr>
          <w:p w14:paraId="3718D6D9">
            <w:pPr>
              <w:spacing w:after="0" w:line="240" w:lineRule="auto"/>
              <w:jc w:val="center"/>
            </w:pPr>
            <w:r>
              <w:rPr>
                <w:rFonts w:ascii="Times New Roman" w:hAnsi="Times New Roman" w:eastAsia="宋体"/>
                <w:b w:val="0"/>
                <w:i w:val="0"/>
                <w:sz w:val="18"/>
              </w:rPr>
              <w:t>4.30</w:t>
            </w:r>
          </w:p>
        </w:tc>
        <w:tc>
          <w:tcPr>
            <w:tcW w:w="1242" w:type="dxa"/>
            <w:vAlign w:val="center"/>
          </w:tcPr>
          <w:p w14:paraId="16F65657">
            <w:pPr>
              <w:spacing w:after="0" w:line="240" w:lineRule="auto"/>
              <w:jc w:val="center"/>
            </w:pPr>
            <w:r>
              <w:rPr>
                <w:rFonts w:ascii="Times New Roman" w:hAnsi="Times New Roman" w:eastAsia="宋体"/>
                <w:b w:val="0"/>
                <w:i w:val="0"/>
                <w:sz w:val="18"/>
              </w:rPr>
              <w:t>7.72</w:t>
            </w:r>
          </w:p>
        </w:tc>
        <w:tc>
          <w:tcPr>
            <w:tcW w:w="1242" w:type="dxa"/>
            <w:vAlign w:val="center"/>
          </w:tcPr>
          <w:p w14:paraId="0B1B00D1">
            <w:pPr>
              <w:spacing w:after="0" w:line="240" w:lineRule="auto"/>
              <w:jc w:val="center"/>
            </w:pPr>
            <w:r>
              <w:rPr>
                <w:rFonts w:ascii="Times New Roman" w:hAnsi="Times New Roman" w:eastAsia="宋体"/>
                <w:b w:val="0"/>
                <w:i w:val="0"/>
                <w:sz w:val="18"/>
              </w:rPr>
              <w:t>276</w:t>
            </w:r>
          </w:p>
        </w:tc>
        <w:tc>
          <w:tcPr>
            <w:tcW w:w="1242" w:type="dxa"/>
            <w:vAlign w:val="center"/>
          </w:tcPr>
          <w:p w14:paraId="35FA75C2">
            <w:pPr>
              <w:spacing w:after="0" w:line="240" w:lineRule="auto"/>
              <w:jc w:val="center"/>
            </w:pPr>
            <w:r>
              <w:rPr>
                <w:rFonts w:ascii="Times New Roman" w:hAnsi="Times New Roman" w:eastAsia="宋体"/>
                <w:b w:val="0"/>
                <w:i w:val="0"/>
                <w:sz w:val="18"/>
              </w:rPr>
              <w:t>1.31×</w:t>
            </w:r>
          </w:p>
        </w:tc>
      </w:tr>
      <w:tr w14:paraId="0575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68DDA0EB">
            <w:pPr>
              <w:spacing w:after="0" w:line="240" w:lineRule="auto"/>
              <w:jc w:val="center"/>
            </w:pPr>
            <w:r>
              <w:rPr>
                <w:rFonts w:ascii="Times New Roman" w:hAnsi="Times New Roman" w:eastAsia="宋体"/>
                <w:b w:val="0"/>
                <w:i w:val="0"/>
                <w:sz w:val="18"/>
              </w:rPr>
              <w:t>Baseline</w:t>
            </w:r>
          </w:p>
        </w:tc>
        <w:tc>
          <w:tcPr>
            <w:tcW w:w="1242" w:type="dxa"/>
            <w:vAlign w:val="center"/>
          </w:tcPr>
          <w:p w14:paraId="49D150FF">
            <w:pPr>
              <w:spacing w:after="0" w:line="240" w:lineRule="auto"/>
              <w:jc w:val="center"/>
            </w:pPr>
            <w:r>
              <w:rPr>
                <w:rFonts w:ascii="Times New Roman" w:hAnsi="Times New Roman" w:eastAsia="宋体"/>
                <w:b w:val="0"/>
                <w:i w:val="0"/>
                <w:sz w:val="18"/>
              </w:rPr>
              <w:t>CLIP-B</w:t>
            </w:r>
          </w:p>
        </w:tc>
        <w:tc>
          <w:tcPr>
            <w:tcW w:w="1242" w:type="dxa"/>
            <w:vAlign w:val="center"/>
          </w:tcPr>
          <w:p w14:paraId="47200F77">
            <w:pPr>
              <w:spacing w:after="0" w:line="240" w:lineRule="auto"/>
              <w:jc w:val="center"/>
            </w:pPr>
            <w:r>
              <w:rPr>
                <w:rFonts w:ascii="Times New Roman" w:hAnsi="Times New Roman" w:eastAsia="宋体"/>
                <w:b w:val="0"/>
                <w:i w:val="0"/>
                <w:sz w:val="18"/>
              </w:rPr>
              <w:t>86.21</w:t>
            </w:r>
          </w:p>
        </w:tc>
        <w:tc>
          <w:tcPr>
            <w:tcW w:w="1242" w:type="dxa"/>
            <w:vAlign w:val="center"/>
          </w:tcPr>
          <w:p w14:paraId="5865D5B4">
            <w:pPr>
              <w:spacing w:after="0" w:line="240" w:lineRule="auto"/>
              <w:jc w:val="center"/>
            </w:pPr>
            <w:r>
              <w:rPr>
                <w:rFonts w:ascii="Times New Roman" w:hAnsi="Times New Roman" w:eastAsia="宋体"/>
                <w:b w:val="0"/>
                <w:i w:val="0"/>
                <w:sz w:val="18"/>
              </w:rPr>
              <w:t>0.016</w:t>
            </w:r>
          </w:p>
        </w:tc>
        <w:tc>
          <w:tcPr>
            <w:tcW w:w="1242" w:type="dxa"/>
            <w:vAlign w:val="center"/>
          </w:tcPr>
          <w:p w14:paraId="765AA88E">
            <w:pPr>
              <w:spacing w:after="0" w:line="240" w:lineRule="auto"/>
              <w:jc w:val="center"/>
            </w:pPr>
            <w:r>
              <w:rPr>
                <w:rFonts w:ascii="Times New Roman" w:hAnsi="Times New Roman" w:eastAsia="宋体"/>
                <w:b w:val="0"/>
                <w:i w:val="0"/>
                <w:sz w:val="18"/>
              </w:rPr>
              <w:t>2.91</w:t>
            </w:r>
          </w:p>
        </w:tc>
        <w:tc>
          <w:tcPr>
            <w:tcW w:w="1242" w:type="dxa"/>
            <w:vAlign w:val="center"/>
          </w:tcPr>
          <w:p w14:paraId="3445038E">
            <w:pPr>
              <w:spacing w:after="0" w:line="240" w:lineRule="auto"/>
              <w:jc w:val="center"/>
            </w:pPr>
            <w:r>
              <w:rPr>
                <w:rFonts w:ascii="Times New Roman" w:hAnsi="Times New Roman" w:eastAsia="宋体"/>
                <w:b w:val="0"/>
                <w:i w:val="0"/>
                <w:sz w:val="18"/>
              </w:rPr>
              <w:t>12.37</w:t>
            </w:r>
          </w:p>
        </w:tc>
        <w:tc>
          <w:tcPr>
            <w:tcW w:w="1242" w:type="dxa"/>
            <w:vAlign w:val="center"/>
          </w:tcPr>
          <w:p w14:paraId="172231FD">
            <w:pPr>
              <w:spacing w:after="0" w:line="240" w:lineRule="auto"/>
              <w:jc w:val="center"/>
            </w:pPr>
            <w:r>
              <w:rPr>
                <w:rFonts w:ascii="Times New Roman" w:hAnsi="Times New Roman" w:eastAsia="宋体"/>
                <w:b w:val="0"/>
                <w:i w:val="0"/>
                <w:sz w:val="18"/>
              </w:rPr>
              <w:t>347</w:t>
            </w:r>
          </w:p>
        </w:tc>
        <w:tc>
          <w:tcPr>
            <w:tcW w:w="1242" w:type="dxa"/>
            <w:vAlign w:val="center"/>
          </w:tcPr>
          <w:p w14:paraId="07D56E42">
            <w:pPr>
              <w:spacing w:after="0" w:line="240" w:lineRule="auto"/>
              <w:jc w:val="center"/>
            </w:pPr>
            <w:r>
              <w:rPr>
                <w:rFonts w:ascii="Times New Roman" w:hAnsi="Times New Roman" w:eastAsia="宋体"/>
                <w:b w:val="0"/>
                <w:i w:val="0"/>
                <w:sz w:val="18"/>
              </w:rPr>
              <w:t>—</w:t>
            </w:r>
          </w:p>
        </w:tc>
      </w:tr>
      <w:tr w14:paraId="1CCA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8F0B9B6">
            <w:pPr>
              <w:spacing w:after="0" w:line="240" w:lineRule="auto"/>
              <w:jc w:val="center"/>
            </w:pPr>
            <w:r>
              <w:rPr>
                <w:rFonts w:ascii="Times New Roman" w:hAnsi="Times New Roman" w:eastAsia="宋体"/>
                <w:b w:val="0"/>
                <w:i w:val="0"/>
                <w:sz w:val="18"/>
              </w:rPr>
              <w:t>LaSt-ViT</w:t>
            </w:r>
          </w:p>
        </w:tc>
        <w:tc>
          <w:tcPr>
            <w:tcW w:w="1242" w:type="dxa"/>
            <w:vAlign w:val="center"/>
          </w:tcPr>
          <w:p w14:paraId="103CFB0F">
            <w:pPr>
              <w:spacing w:after="0" w:line="240" w:lineRule="auto"/>
              <w:jc w:val="center"/>
            </w:pPr>
            <w:r>
              <w:rPr>
                <w:rFonts w:ascii="Times New Roman" w:hAnsi="Times New Roman" w:eastAsia="宋体"/>
                <w:b w:val="0"/>
                <w:i w:val="0"/>
                <w:sz w:val="18"/>
              </w:rPr>
              <w:t>CLIP-B</w:t>
            </w:r>
          </w:p>
        </w:tc>
        <w:tc>
          <w:tcPr>
            <w:tcW w:w="1242" w:type="dxa"/>
            <w:vAlign w:val="center"/>
          </w:tcPr>
          <w:p w14:paraId="25926A51">
            <w:pPr>
              <w:spacing w:after="0" w:line="240" w:lineRule="auto"/>
              <w:jc w:val="center"/>
            </w:pPr>
            <w:r>
              <w:rPr>
                <w:rFonts w:ascii="Times New Roman" w:hAnsi="Times New Roman" w:eastAsia="宋体"/>
                <w:b w:val="0"/>
                <w:i w:val="0"/>
                <w:sz w:val="18"/>
              </w:rPr>
              <w:t>87.94</w:t>
            </w:r>
          </w:p>
        </w:tc>
        <w:tc>
          <w:tcPr>
            <w:tcW w:w="1242" w:type="dxa"/>
            <w:vAlign w:val="center"/>
          </w:tcPr>
          <w:p w14:paraId="087B5CC7">
            <w:pPr>
              <w:spacing w:after="0" w:line="240" w:lineRule="auto"/>
              <w:jc w:val="center"/>
            </w:pPr>
            <w:r>
              <w:rPr>
                <w:rFonts w:ascii="Times New Roman" w:hAnsi="Times New Roman" w:eastAsia="宋体"/>
                <w:b w:val="0"/>
                <w:i w:val="0"/>
                <w:sz w:val="18"/>
              </w:rPr>
              <w:t>1.74</w:t>
            </w:r>
          </w:p>
        </w:tc>
        <w:tc>
          <w:tcPr>
            <w:tcW w:w="1242" w:type="dxa"/>
            <w:vAlign w:val="center"/>
          </w:tcPr>
          <w:p w14:paraId="0E9C98D4">
            <w:pPr>
              <w:spacing w:after="0" w:line="240" w:lineRule="auto"/>
              <w:jc w:val="center"/>
            </w:pPr>
            <w:r>
              <w:rPr>
                <w:rFonts w:ascii="Times New Roman" w:hAnsi="Times New Roman" w:eastAsia="宋体"/>
                <w:b w:val="0"/>
                <w:i w:val="0"/>
                <w:sz w:val="18"/>
              </w:rPr>
              <w:t>11.37</w:t>
            </w:r>
          </w:p>
        </w:tc>
        <w:tc>
          <w:tcPr>
            <w:tcW w:w="1242" w:type="dxa"/>
            <w:vAlign w:val="center"/>
          </w:tcPr>
          <w:p w14:paraId="5541FB05">
            <w:pPr>
              <w:spacing w:after="0" w:line="240" w:lineRule="auto"/>
              <w:jc w:val="center"/>
            </w:pPr>
            <w:r>
              <w:rPr>
                <w:rFonts w:ascii="Times New Roman" w:hAnsi="Times New Roman" w:eastAsia="宋体"/>
                <w:b w:val="0"/>
                <w:i w:val="0"/>
                <w:sz w:val="18"/>
              </w:rPr>
              <w:t>13.8</w:t>
            </w:r>
          </w:p>
        </w:tc>
        <w:tc>
          <w:tcPr>
            <w:tcW w:w="1242" w:type="dxa"/>
            <w:vAlign w:val="center"/>
          </w:tcPr>
          <w:p w14:paraId="53255D24">
            <w:pPr>
              <w:spacing w:after="0" w:line="240" w:lineRule="auto"/>
              <w:jc w:val="center"/>
            </w:pPr>
            <w:r>
              <w:rPr>
                <w:rFonts w:ascii="Times New Roman" w:hAnsi="Times New Roman" w:eastAsia="宋体"/>
                <w:b w:val="0"/>
                <w:i w:val="0"/>
                <w:sz w:val="18"/>
              </w:rPr>
              <w:t>687</w:t>
            </w:r>
          </w:p>
        </w:tc>
        <w:tc>
          <w:tcPr>
            <w:tcW w:w="1242" w:type="dxa"/>
            <w:vAlign w:val="center"/>
          </w:tcPr>
          <w:p w14:paraId="2836EBF8">
            <w:pPr>
              <w:spacing w:after="0" w:line="240" w:lineRule="auto"/>
              <w:jc w:val="center"/>
            </w:pPr>
            <w:r>
              <w:rPr>
                <w:rFonts w:ascii="Times New Roman" w:hAnsi="Times New Roman" w:eastAsia="宋体"/>
                <w:b w:val="0"/>
                <w:i w:val="0"/>
                <w:sz w:val="18"/>
              </w:rPr>
              <w:t>1.12×</w:t>
            </w:r>
          </w:p>
        </w:tc>
      </w:tr>
      <w:tr w14:paraId="144E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09985B57">
            <w:pPr>
              <w:spacing w:after="0" w:line="240" w:lineRule="auto"/>
              <w:jc w:val="center"/>
            </w:pPr>
            <w:r>
              <w:rPr>
                <w:rFonts w:ascii="Times New Roman" w:hAnsi="Times New Roman" w:eastAsia="宋体"/>
                <w:b w:val="0"/>
                <w:i w:val="0"/>
                <w:sz w:val="18"/>
              </w:rPr>
              <w:t>DAFB-CLS</w:t>
            </w:r>
          </w:p>
        </w:tc>
        <w:tc>
          <w:tcPr>
            <w:tcW w:w="1242" w:type="dxa"/>
            <w:vAlign w:val="center"/>
          </w:tcPr>
          <w:p w14:paraId="2BA40602">
            <w:pPr>
              <w:spacing w:after="0" w:line="240" w:lineRule="auto"/>
              <w:jc w:val="center"/>
            </w:pPr>
            <w:r>
              <w:rPr>
                <w:rFonts w:ascii="Times New Roman" w:hAnsi="Times New Roman" w:eastAsia="宋体"/>
                <w:b w:val="0"/>
                <w:i w:val="0"/>
                <w:sz w:val="18"/>
              </w:rPr>
              <w:t>CLIP-B</w:t>
            </w:r>
          </w:p>
        </w:tc>
        <w:tc>
          <w:tcPr>
            <w:tcW w:w="1242" w:type="dxa"/>
            <w:vAlign w:val="center"/>
          </w:tcPr>
          <w:p w14:paraId="1190AD11">
            <w:pPr>
              <w:spacing w:after="0" w:line="240" w:lineRule="auto"/>
              <w:jc w:val="center"/>
            </w:pPr>
            <w:r>
              <w:rPr>
                <w:rFonts w:ascii="Times New Roman" w:hAnsi="Times New Roman" w:eastAsia="宋体"/>
                <w:b w:val="0"/>
                <w:i w:val="0"/>
                <w:sz w:val="18"/>
              </w:rPr>
              <w:t>87.94</w:t>
            </w:r>
          </w:p>
        </w:tc>
        <w:tc>
          <w:tcPr>
            <w:tcW w:w="1242" w:type="dxa"/>
            <w:vAlign w:val="center"/>
          </w:tcPr>
          <w:p w14:paraId="6D2DD09A">
            <w:pPr>
              <w:spacing w:after="0" w:line="240" w:lineRule="auto"/>
              <w:jc w:val="center"/>
            </w:pPr>
            <w:r>
              <w:rPr>
                <w:rFonts w:ascii="Times New Roman" w:hAnsi="Times New Roman" w:eastAsia="宋体"/>
                <w:b w:val="0"/>
                <w:i w:val="0"/>
                <w:sz w:val="18"/>
              </w:rPr>
              <w:t>1.74</w:t>
            </w:r>
          </w:p>
        </w:tc>
        <w:tc>
          <w:tcPr>
            <w:tcW w:w="1242" w:type="dxa"/>
            <w:vAlign w:val="center"/>
          </w:tcPr>
          <w:p w14:paraId="32933B4F">
            <w:pPr>
              <w:spacing w:after="0" w:line="240" w:lineRule="auto"/>
              <w:jc w:val="center"/>
            </w:pPr>
            <w:r>
              <w:rPr>
                <w:rFonts w:ascii="Times New Roman" w:hAnsi="Times New Roman" w:eastAsia="宋体"/>
                <w:b w:val="0"/>
                <w:i w:val="0"/>
                <w:sz w:val="18"/>
              </w:rPr>
              <w:t>11.42</w:t>
            </w:r>
          </w:p>
        </w:tc>
        <w:tc>
          <w:tcPr>
            <w:tcW w:w="1242" w:type="dxa"/>
            <w:vAlign w:val="center"/>
          </w:tcPr>
          <w:p w14:paraId="3610DEC3">
            <w:pPr>
              <w:spacing w:after="0" w:line="240" w:lineRule="auto"/>
              <w:jc w:val="center"/>
            </w:pPr>
            <w:r>
              <w:rPr>
                <w:rFonts w:ascii="Times New Roman" w:hAnsi="Times New Roman" w:eastAsia="宋体"/>
                <w:b w:val="0"/>
                <w:i w:val="0"/>
                <w:sz w:val="18"/>
              </w:rPr>
              <w:t>15.82</w:t>
            </w:r>
          </w:p>
        </w:tc>
        <w:tc>
          <w:tcPr>
            <w:tcW w:w="1242" w:type="dxa"/>
            <w:vAlign w:val="center"/>
          </w:tcPr>
          <w:p w14:paraId="7695F05E">
            <w:pPr>
              <w:spacing w:after="0" w:line="240" w:lineRule="auto"/>
              <w:jc w:val="center"/>
            </w:pPr>
            <w:r>
              <w:rPr>
                <w:rFonts w:ascii="Times New Roman" w:hAnsi="Times New Roman" w:eastAsia="宋体"/>
                <w:b w:val="0"/>
                <w:i w:val="0"/>
                <w:sz w:val="18"/>
              </w:rPr>
              <w:t>1033</w:t>
            </w:r>
          </w:p>
        </w:tc>
        <w:tc>
          <w:tcPr>
            <w:tcW w:w="1242" w:type="dxa"/>
            <w:vAlign w:val="center"/>
          </w:tcPr>
          <w:p w14:paraId="4B0886F1">
            <w:pPr>
              <w:spacing w:after="0" w:line="240" w:lineRule="auto"/>
              <w:jc w:val="center"/>
            </w:pPr>
            <w:r>
              <w:rPr>
                <w:rFonts w:ascii="Times New Roman" w:hAnsi="Times New Roman" w:eastAsia="宋体"/>
                <w:b w:val="0"/>
                <w:i w:val="0"/>
                <w:sz w:val="18"/>
              </w:rPr>
              <w:t>1.28×</w:t>
            </w:r>
          </w:p>
        </w:tc>
      </w:tr>
    </w:tbl>
    <w:p w14:paraId="38282AC9"/>
    <w:p w14:paraId="0EFCE530">
      <w:pPr>
        <w:spacing w:after="60" w:line="276" w:lineRule="auto"/>
        <w:ind w:firstLine="420"/>
      </w:pPr>
      <w:r>
        <w:rPr>
          <w:rFonts w:ascii="Times New Roman" w:hAnsi="Times New Roman" w:eastAsia="宋体"/>
          <w:b w:val="0"/>
          <w:i w:val="0"/>
          <w:sz w:val="21"/>
        </w:rPr>
        <w:t>DAFB-CLS 在 DINO 上仅增加 0.59M 可训练参数，占骨干网络的 2.7%；在 OpenCLIP 上增加 1.74M，占 2.0%。其推理延迟开销也较为有限，DINO 上增加 1.82 ms，为 1.31×；OpenCLIP 上增加 3.45 ms，为 1.28×。与显著准确率增益相比，这一开销是温和的。主要成本来自 GPU 显存：DAFB-CLS 在 DINO 上需要 276 MB，约为基线的 2.8×；在 OpenCLIP 上需要 1033 MB，约为基线的 3.0×。这是因为前向传播中需要保存多层图像块特征。显存开销与提取层数线性相关；若减少到 2 个提取层，显存需求大约可以减半。</w:t>
      </w:r>
    </w:p>
    <w:p w14:paraId="40905A57">
      <w:pPr>
        <w:spacing w:before="160" w:after="80"/>
      </w:pPr>
      <w:r>
        <w:rPr>
          <w:rFonts w:ascii="Times New Roman" w:hAnsi="Times New Roman" w:eastAsia="宋体"/>
          <w:b/>
          <w:i w:val="0"/>
          <w:sz w:val="28"/>
        </w:rPr>
        <w:t>V. 结论</w:t>
      </w:r>
    </w:p>
    <w:p w14:paraId="51016C62">
      <w:pPr>
        <w:spacing w:after="60" w:line="276" w:lineRule="auto"/>
        <w:ind w:firstLine="420"/>
      </w:pPr>
      <w:r>
        <w:rPr>
          <w:rFonts w:ascii="Times New Roman" w:hAnsi="Times New Roman" w:eastAsia="宋体"/>
          <w:b w:val="0"/>
          <w:i w:val="0"/>
          <w:sz w:val="21"/>
        </w:rPr>
        <w:t>本文研究了视觉 Transformer 中的惰性聚合问题，即 [CLS] 标记会系统性偏向背景图像块。为此，本文提出 DAFB-CLS，一种轻量级后处理框架，它将 [CLS] 标记解耦为独立的前景流和背景流，并通过深度自适应聚合进行表示学习，同时利用多线索打分与图像自适应软掩码增强前景信号。</w:t>
      </w:r>
    </w:p>
    <w:p w14:paraId="684F802C">
      <w:pPr>
        <w:spacing w:after="60" w:line="276" w:lineRule="auto"/>
        <w:ind w:firstLine="420"/>
      </w:pPr>
      <w:r>
        <w:rPr>
          <w:rFonts w:ascii="Times New Roman" w:hAnsi="Times New Roman" w:eastAsia="宋体"/>
          <w:b w:val="0"/>
          <w:i w:val="0"/>
          <w:sz w:val="21"/>
        </w:rPr>
        <w:t>本文的关键认识在于，前景—背景分离必须发生在聚合层面，并且需要同时考虑空间选择和深度选择：空间选择决定哪些图像块属于前景，深度选择决定哪些层最适合表示每条语义流。通过融合四种互补线索、学习逐图像阈值并保持独立深度注意力，DAFB-CLS 相比最强聚合基线取得 +13.7 个百分点的 CorLoc 和 +18.0 个百分点的 Mask IoU 提升，并表现出稳健的跨数据集泛化能力。消融实验揭示了各组件之间清晰的分工，而压力测试则指出稳定背景是当前主要挑战。这一架构限制也表明，显式高频拒绝和学习背景先验可能是未来有价值的改进方向。</w:t>
      </w:r>
    </w:p>
    <w:p w14:paraId="2B5716B4">
      <w:pPr>
        <w:spacing w:before="160" w:after="80"/>
      </w:pPr>
      <w:r>
        <w:rPr>
          <w:rFonts w:ascii="Times New Roman" w:hAnsi="Times New Roman" w:eastAsia="宋体"/>
          <w:b/>
          <w:i w:val="0"/>
          <w:sz w:val="28"/>
        </w:rPr>
        <w:t>参考文献</w:t>
      </w:r>
    </w:p>
    <w:p w14:paraId="47E6AAC7">
      <w:pPr>
        <w:spacing w:after="60" w:line="276" w:lineRule="auto"/>
      </w:pPr>
      <w:r>
        <w:rPr>
          <w:rFonts w:ascii="Times New Roman" w:hAnsi="Times New Roman" w:eastAsia="宋体"/>
          <w:b w:val="0"/>
          <w:i w:val="0"/>
          <w:sz w:val="21"/>
        </w:rPr>
        <w:t>[1] A. Dosovitsky, L. Beyer, A. Kolesnikov 等，“An Image is Worth 16x16 Words: Transformers for Image Recognition at Scale”，发表于 ICLR，2021。</w:t>
      </w:r>
    </w:p>
    <w:p w14:paraId="7B56544B">
      <w:pPr>
        <w:spacing w:after="60" w:line="276" w:lineRule="auto"/>
      </w:pPr>
      <w:r>
        <w:rPr>
          <w:rFonts w:ascii="Times New Roman" w:hAnsi="Times New Roman" w:eastAsia="宋体"/>
          <w:b w:val="0"/>
          <w:i w:val="0"/>
          <w:sz w:val="21"/>
        </w:rPr>
        <w:t>[2] S. Shi 等，“LaSt-ViT: Rethinking CLS Token Aggregation in Vision Transformers”，发表于 ECCV，2024。</w:t>
      </w:r>
    </w:p>
    <w:p w14:paraId="0E20C358">
      <w:pPr>
        <w:spacing w:after="60" w:line="276" w:lineRule="auto"/>
      </w:pPr>
      <w:r>
        <w:rPr>
          <w:rFonts w:ascii="Times New Roman" w:hAnsi="Times New Roman" w:eastAsia="宋体"/>
          <w:b w:val="0"/>
          <w:i w:val="0"/>
          <w:sz w:val="21"/>
        </w:rPr>
        <w:t>[3] T. He 等，“On the Dilution of Residual Connections in Pre-Norm Transformers”，发表于 ICLR，2025。</w:t>
      </w:r>
    </w:p>
    <w:p w14:paraId="764109E7">
      <w:pPr>
        <w:spacing w:after="60" w:line="276" w:lineRule="auto"/>
      </w:pPr>
      <w:r>
        <w:rPr>
          <w:rFonts w:ascii="Times New Roman" w:hAnsi="Times New Roman" w:eastAsia="宋体"/>
          <w:b w:val="0"/>
          <w:i w:val="0"/>
          <w:sz w:val="21"/>
        </w:rPr>
        <w:t>[4] Kimi Team，“Attention Residuals: Learning Content-Dependent Depth Attention”，arXiv:2603.15031，2026。</w:t>
      </w:r>
    </w:p>
    <w:p w14:paraId="26131AEA">
      <w:pPr>
        <w:spacing w:after="60" w:line="276" w:lineRule="auto"/>
      </w:pPr>
      <w:r>
        <w:rPr>
          <w:rFonts w:ascii="Times New Roman" w:hAnsi="Times New Roman" w:eastAsia="宋体"/>
          <w:b w:val="0"/>
          <w:i w:val="0"/>
          <w:sz w:val="21"/>
        </w:rPr>
        <w:t>[5] B. Zhou 等，“Learning Deep Features for Discriminative Localization”，发表于 CVPR，2016。</w:t>
      </w:r>
    </w:p>
    <w:p w14:paraId="1BEE2BFE">
      <w:pPr>
        <w:spacing w:after="60" w:line="276" w:lineRule="auto"/>
      </w:pPr>
      <w:r>
        <w:rPr>
          <w:rFonts w:ascii="Times New Roman" w:hAnsi="Times New Roman" w:eastAsia="宋体"/>
          <w:b w:val="0"/>
          <w:i w:val="0"/>
          <w:sz w:val="21"/>
        </w:rPr>
        <w:t>[6] M. Caron 等，“Emerging Properties in Self-Supervised Vision Transformers”，发表于 ICCV，2021。</w:t>
      </w:r>
    </w:p>
    <w:p w14:paraId="4C5F6414">
      <w:pPr>
        <w:spacing w:after="60" w:line="276" w:lineRule="auto"/>
      </w:pPr>
      <w:r>
        <w:rPr>
          <w:rFonts w:ascii="Times New Roman" w:hAnsi="Times New Roman" w:eastAsia="宋体"/>
          <w:b w:val="0"/>
          <w:i w:val="0"/>
          <w:sz w:val="21"/>
        </w:rPr>
        <w:t>[7] Y. Wang 等，“TokenCut: Segmenting Objects in Images and Videos with Self-Supervised Transformer and Normalized Cut”，IEEE Transactions on Pattern Analysis and Machine Intelligence，2023。</w:t>
      </w:r>
    </w:p>
    <w:p w14:paraId="6BCB4088">
      <w:pPr>
        <w:spacing w:after="60" w:line="276" w:lineRule="auto"/>
      </w:pPr>
      <w:r>
        <w:rPr>
          <w:rFonts w:ascii="Times New Roman" w:hAnsi="Times New Roman" w:eastAsia="宋体"/>
          <w:b w:val="0"/>
          <w:i w:val="0"/>
          <w:sz w:val="21"/>
        </w:rPr>
        <w:t>[8] A. Radford 等，“Learning Transferable Visual Models from Natural Language Supervision”，发表于 ICML，2021。</w:t>
      </w:r>
    </w:p>
    <w:p w14:paraId="679F1B68">
      <w:pPr>
        <w:spacing w:after="60" w:line="276" w:lineRule="auto"/>
      </w:pPr>
      <w:r>
        <w:rPr>
          <w:rFonts w:ascii="Times New Roman" w:hAnsi="Times New Roman" w:eastAsia="宋体"/>
          <w:b w:val="0"/>
          <w:i w:val="0"/>
          <w:sz w:val="21"/>
        </w:rPr>
        <w:t>[9] C. Schuhmann 等，“LAION-5B: An Open Large-Scale Dataset for Training Next Generation Image-Text Models”，发表于 NeurIPS，2022。</w:t>
      </w:r>
    </w:p>
    <w:p w14:paraId="7FC63266">
      <w:pPr>
        <w:spacing w:after="60" w:line="276" w:lineRule="auto"/>
      </w:pPr>
      <w:r>
        <w:rPr>
          <w:rFonts w:ascii="Times New Roman" w:hAnsi="Times New Roman" w:eastAsia="宋体"/>
          <w:b w:val="0"/>
          <w:i w:val="0"/>
          <w:sz w:val="21"/>
        </w:rPr>
        <w:t>[10] M. Everingham 等，“The PASCAL Visual Object Classes (VOC) Challenge”，International Journal of Computer Vision，2010。</w:t>
      </w:r>
    </w:p>
    <w:p w14:paraId="2232F26C">
      <w:pPr>
        <w:spacing w:after="60" w:line="276" w:lineRule="auto"/>
      </w:pPr>
      <w:r>
        <w:rPr>
          <w:rFonts w:ascii="Times New Roman" w:hAnsi="Times New Roman" w:eastAsia="宋体"/>
          <w:b w:val="0"/>
          <w:i w:val="0"/>
          <w:sz w:val="21"/>
        </w:rPr>
        <w:t>[11] T.-Y. Lin 等，“Microsoft COCO: Common Objects in Context”，发表于 ECCV，2014。</w:t>
      </w:r>
    </w:p>
    <w:sectPr>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712698"/>
    <w:rsid w:val="4E0C51E3"/>
    <w:rsid w:val="66D15D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10144</Words>
  <Characters>13114</Characters>
  <Lines>0</Lines>
  <Paragraphs>0</Paragraphs>
  <TotalTime>0</TotalTime>
  <ScaleCrop>false</ScaleCrop>
  <LinksUpToDate>false</LinksUpToDate>
  <CharactersWithSpaces>14003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张峻祎</cp:lastModifiedBy>
  <dcterms:modified xsi:type="dcterms:W3CDTF">2026-05-28T00:47:22Z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eyJoZGlkIjoiNmE5ZTgzYTRmMmFkOTRkZTEyOTIzNjQ3N2E0NThiN2IiLCJ1c2VySWQiOiIxNjIyMjU0MTA1In0=</vt:lpwstr>
  </property>
  <property fmtid="{D5CDD505-2E9C-101B-9397-08002B2CF9AE}" pid="3" name="KSOProductBuildVer">
    <vt:lpwstr>2052-12.1.0.23542</vt:lpwstr>
  </property>
  <property fmtid="{D5CDD505-2E9C-101B-9397-08002B2CF9AE}" pid="4" name="ICV">
    <vt:lpwstr>62C4BA5C19184A6CB17F85F6C4B77F3E_13</vt:lpwstr>
  </property>
</Properties>
</file>