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v.-experiments"/>
    <w:p>
      <w:pPr>
        <w:pStyle w:val="Heading1"/>
      </w:pPr>
      <w:r>
        <w:t xml:space="preserve">IV. EXPERIMENTS</w:t>
      </w:r>
    </w:p>
    <w:p>
      <w:pPr>
        <w:pStyle w:val="FirstParagraph"/>
      </w:pPr>
      <w:r>
        <w:t xml:space="preserve">We evaluate DAFB-CLS on two tasks—unsupervised object discovery and open-vocabulary segmentation—across two benchmarks. Systematic ablation studies and stress tests validate each design choice and characterize failure modes.</w:t>
      </w:r>
    </w:p>
    <w:bookmarkStart w:id="20" w:name="a.-experimental-setup"/>
    <w:p>
      <w:pPr>
        <w:pStyle w:val="Heading2"/>
      </w:pPr>
      <w:r>
        <w:t xml:space="preserve">A. Experimental Setup</w:t>
      </w:r>
    </w:p>
    <w:p>
      <w:pPr>
        <w:pStyle w:val="FirstParagraph"/>
      </w:pPr>
      <w:r>
        <w:rPr>
          <w:bCs/>
          <w:b/>
        </w:rPr>
        <w:t xml:space="preserve">Datasets.</w:t>
      </w:r>
      <w:r>
        <w:t xml:space="preserve"> </w:t>
      </w:r>
      <w:r>
        <w:t xml:space="preserve">We use two standard benchmarks: (i) PASCAL VOC 2012, containing 1,449 validation images across 20 object categories, widely adopted for object discovery and weakly-supervised segmentation; (ii) MS COCO 2017, containing 4,952 validation images across 80 categories, providing a larger-scale and more diverse testbed. All images are resized to 224$</w:t>
      </w:r>
      <w:r>
        <w:rPr>
          <w:rStyle w:val="VerbatimChar"/>
        </w:rPr>
        <w:t xml:space="preserve">\times</w:t>
      </w:r>
      <w:r>
        <w:t xml:space="preserve">$224 and processed through the frozen backbone without additional data augmentation.</w:t>
      </w:r>
    </w:p>
    <w:p>
      <w:pPr>
        <w:pStyle w:val="BodyText"/>
      </w:pPr>
      <w:r>
        <w:rPr>
          <w:bCs/>
          <w:b/>
        </w:rPr>
        <w:t xml:space="preserve">Metrics.</w:t>
      </w:r>
      <w:r>
        <w:t xml:space="preserve"> </w:t>
      </w:r>
      <w:r>
        <w:t xml:space="preserve">We adopt four complementary metrics: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CorLoc</w:t>
      </w:r>
      <w:r>
        <w:t xml:space="preserve"> </w:t>
      </w:r>
      <w:r>
        <w:t xml:space="preserve">(Correct Localization): the fraction of images where the center-of-mass of the predicted foreground patches falls within any ground-truth bounding box, measuring coarse spatial localization.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Mask IoU</w:t>
      </w:r>
      <w:r>
        <w:t xml:space="preserve">: the intersection-over-union between the binarized predicted foreground mask and the ground-truth segmentation mask, averaged over all images, measuring spatial mask quality.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PiB</w:t>
      </w:r>
      <w:r>
        <w:t xml:space="preserve"> </w:t>
      </w:r>
      <w:r>
        <w:t xml:space="preserve">(Point-in-Box): the fraction of images where the patch with the highest aggregated CLS similarity falls within an annotated foreground bounding box, providing a finer-grained localization diagnostic than CorLoc.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mIoU</w:t>
      </w:r>
      <w:r>
        <w:t xml:space="preserve">: mean per-class intersection-over-union, used for the open-vocabulary segmentation task with OpenCLIP.</w:t>
      </w:r>
    </w:p>
    <w:p>
      <w:pPr>
        <w:pStyle w:val="FirstParagraph"/>
      </w:pPr>
      <w:r>
        <w:rPr>
          <w:bCs/>
          <w:b/>
        </w:rPr>
        <w:t xml:space="preserve">Comparison Methods.</w:t>
      </w:r>
      <w:r>
        <w:t xml:space="preserve"> </w:t>
      </w:r>
      <w:r>
        <w:t xml:space="preserve">We compare against five baselines spanning three categories: (1)</w:t>
      </w:r>
      <w:r>
        <w:t xml:space="preserve"> </w:t>
      </w:r>
      <w:r>
        <w:rPr>
          <w:iCs/>
          <w:i/>
        </w:rPr>
        <w:t xml:space="preserve">Attention-map methods</w:t>
      </w:r>
      <w:r>
        <w:t xml:space="preserve">: CAM [5], which generates localization heatmaps from classifier gradients; DINO-seg [6], which extracts self-attention maps from self-supervised ViTs; TokenCut [7], which applies normalized cuts to self-similarity graphs. (2)</w:t>
      </w:r>
      <w:r>
        <w:t xml:space="preserve"> </w:t>
      </w:r>
      <w:r>
        <w:rPr>
          <w:iCs/>
          <w:i/>
        </w:rPr>
        <w:t xml:space="preserve">Aggregation methods</w:t>
      </w:r>
      <w:r>
        <w:t xml:space="preserve">: LaSt-ViT [2], which selects patches by frequency stability with fixed Top-K (</w:t>
      </w:r>
      <w:r>
        <w:t xml:space="preserve">$`K \approx 30\%`$</w:t>
      </w:r>
      <w:r>
        <w:t xml:space="preserve"> </w:t>
      </w:r>
      <w:r>
        <w:t xml:space="preserve">of patches). (3)</w:t>
      </w:r>
      <w:r>
        <w:t xml:space="preserve"> </w:t>
      </w:r>
      <w:r>
        <w:rPr>
          <w:iCs/>
          <w:i/>
        </w:rPr>
        <w:t xml:space="preserve">Vision-language methods</w:t>
      </w:r>
      <w:r>
        <w:t xml:space="preserve">: MaskCLIP [8], which produces per-patch class predictions from CLIP’s penultimate-layer features and text embeddings.</w:t>
      </w:r>
    </w:p>
    <w:p>
      <w:pPr>
        <w:pStyle w:val="BodyText"/>
      </w:pPr>
      <w:r>
        <w:rPr>
          <w:bCs/>
          <w:b/>
        </w:rPr>
        <w:t xml:space="preserve">Implementation Details.</w:t>
      </w:r>
      <w:r>
        <w:t xml:space="preserve"> </w:t>
      </w:r>
      <w:r>
        <w:t xml:space="preserve">For DINO experiments, we use ViT-S/16 as the frozen backbone with features extracted at layers</w:t>
      </w:r>
      <w:r>
        <w:t xml:space="preserve"> </w:t>
      </w:r>
      <w:r>
        <w:t xml:space="preserve">$`\{3, 6, 9, 12\}`$</w:t>
      </w:r>
      <w:r>
        <w:t xml:space="preserve">. The aggregation module is trained for 50 epochs with batch size 16, learning rate</w:t>
      </w:r>
      <w:r>
        <w:t xml:space="preserve"> </w:t>
      </w:r>
      <w:r>
        <w:t xml:space="preserve">$`10^{-4}`$</w:t>
      </w:r>
      <w:r>
        <w:t xml:space="preserve">, AdamW optimizer, and cosine annealing scheduler. Loss weights are</w:t>
      </w:r>
      <w:r>
        <w:t xml:space="preserve"> </w:t>
      </w:r>
      <w:r>
        <w:t xml:space="preserve">$`\lambda_{\text{fg}}=1.0`$</w:t>
      </w:r>
      <w:r>
        <w:t xml:space="preserve">,</w:t>
      </w:r>
      <w:r>
        <w:t xml:space="preserve"> </w:t>
      </w:r>
      <w:r>
        <w:t xml:space="preserve">$`\lambda_{\text{dec}}=0.05`$</w:t>
      </w:r>
      <w:r>
        <w:t xml:space="preserve">,</w:t>
      </w:r>
      <w:r>
        <w:t xml:space="preserve"> </w:t>
      </w:r>
      <w:r>
        <w:t xml:space="preserve">$`\lambda_{\text{bud}}=0.01`$</w:t>
      </w:r>
      <w:r>
        <w:t xml:space="preserve">. For OpenCLIP experiments, we use ViT-B/16 pretrained on LAION-2B with the same layer indices; batch size is 16, learning rate</w:t>
      </w:r>
      <w:r>
        <w:t xml:space="preserve"> </w:t>
      </w:r>
      <w:r>
        <w:t xml:space="preserve">$`5 \times 10^{-5}`$</w:t>
      </w:r>
      <w:r>
        <w:t xml:space="preserve">,</w:t>
      </w:r>
      <w:r>
        <w:t xml:space="preserve"> </w:t>
      </w:r>
      <w:r>
        <w:t xml:space="preserve">$`\lambda_{\text{fg}}=2.0`$</w:t>
      </w:r>
      <w:r>
        <w:t xml:space="preserve">,</w:t>
      </w:r>
      <w:r>
        <w:t xml:space="preserve"> </w:t>
      </w:r>
      <w:r>
        <w:t xml:space="preserve">$`\lambda_{\text{dec}}=0.1`$</w:t>
      </w:r>
      <w:r>
        <w:t xml:space="preserve">,</w:t>
      </w:r>
      <w:r>
        <w:t xml:space="preserve"> </w:t>
      </w:r>
      <w:r>
        <w:t xml:space="preserve">$`\lambda_{\text{bud}}=0.02`$</w:t>
      </w:r>
      <w:r>
        <w:t xml:space="preserve">. All experiments run on a single NVIDIA RTX 4070 GPU with mixed-precision training.</w:t>
      </w:r>
    </w:p>
    <w:bookmarkEnd w:id="20"/>
    <w:bookmarkStart w:id="21" w:name="b.-main-results"/>
    <w:p>
      <w:pPr>
        <w:pStyle w:val="Heading2"/>
      </w:pPr>
      <w:r>
        <w:t xml:space="preserve">B. Main Results</w:t>
      </w:r>
    </w:p>
    <w:p>
      <w:pPr>
        <w:pStyle w:val="FirstParagraph"/>
      </w:pPr>
      <w:r>
        <w:rPr>
          <w:bCs/>
          <w:b/>
        </w:rPr>
        <w:t xml:space="preserve">Object Discovery on VOC 2012.</w:t>
      </w:r>
      <w:r>
        <w:t xml:space="preserve"> </w:t>
      </w:r>
      <w:r>
        <w:t xml:space="preserve">Table II compares DAFB-CLS against all baselines on the VOC validation set using DINO ViT-S/16. The raw ViT baseline achieves only 29.33% CorLoc, confirming that the default CLS token poorly localizes objects. Among post-hoc methods, CAM and DINO-seg improve CorLoc to 62.80% and 68.46% respectively, but both produce noisy masks (3.52% and 8.83% Mask IoU). TokenCut achieves 58.52% CorLoc via graph partitioning but suffers from low Mask IoU (6.17%), as normalized cuts struggle to produce spatially coherent masks without explicit foreground modeling. LaSt-ViT raises Mask IoU to 13.31% through frequency-guided selection, but its fixed Top-K budget limits spatial precision.</w:t>
      </w:r>
    </w:p>
    <w:p>
      <w:pPr>
        <w:pStyle w:val="BodyText"/>
      </w:pPr>
      <w:r>
        <w:t xml:space="preserve">DAFB-CLS achieves</w:t>
      </w:r>
      <w:r>
        <w:t xml:space="preserve"> </w:t>
      </w:r>
      <w:r>
        <w:rPr>
          <w:bCs/>
          <w:b/>
        </w:rPr>
        <w:t xml:space="preserve">79.43% CorLoc</w:t>
      </w:r>
      <w:r>
        <w:t xml:space="preserve"> </w:t>
      </w:r>
      <w:r>
        <w:t xml:space="preserve">(+13.7 pp over LaSt-ViT, +20.9 pp over TokenCut) and</w:t>
      </w:r>
      <w:r>
        <w:t xml:space="preserve"> </w:t>
      </w:r>
      <w:r>
        <w:rPr>
          <w:bCs/>
          <w:b/>
        </w:rPr>
        <w:t xml:space="preserve">31.27% Mask IoU</w:t>
      </w:r>
      <w:r>
        <w:t xml:space="preserve"> </w:t>
      </w:r>
      <w:r>
        <w:t xml:space="preserve">(+18.0 pp over LaSt-ViT, +25.1 pp over TokenCut). The substantial Mask IoU gain demonstrates that the adaptive soft mask produces significantly more spatially accurate foreground regions than both fixed-ratio selection and graph-based partitioning.</w:t>
      </w:r>
    </w:p>
    <w:p>
      <w:pPr>
        <w:pStyle w:val="BodyText"/>
      </w:pPr>
      <w:r>
        <w:rPr>
          <w:bCs/>
          <w:b/>
        </w:rPr>
        <w:t xml:space="preserve">TABLE II</w:t>
      </w:r>
    </w:p>
    <w:p>
      <w:pPr>
        <w:pStyle w:val="BodyText"/>
      </w:pPr>
      <w:r>
        <w:rPr>
          <w:bCs/>
          <w:b/>
        </w:rPr>
        <w:t xml:space="preserve">Object Discovery Results on VOC 2012 (DINO ViT-S/16)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CorLoc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Mask IoU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PiB</w:t>
            </w:r>
            <w:r>
              <w:t xml:space="preserve"> </w:t>
            </w:r>
            <w:r>
              <w:t xml:space="preserve">$`\uparrow`$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</w:t>
            </w:r>
          </w:p>
        </w:tc>
        <w:tc>
          <w:p>
            <w:pPr>
              <w:pStyle w:val="Compact"/>
              <w:jc w:val="center"/>
            </w:pPr>
            <w:r>
              <w:t xml:space="preserve">62.80</w:t>
            </w:r>
          </w:p>
        </w:tc>
        <w:tc>
          <w:p>
            <w:pPr>
              <w:pStyle w:val="Compact"/>
              <w:jc w:val="center"/>
            </w:pPr>
            <w:r>
              <w:t xml:space="preserve">3.52</w:t>
            </w:r>
          </w:p>
        </w:tc>
        <w:tc>
          <w:p>
            <w:pPr>
              <w:pStyle w:val="Compact"/>
              <w:jc w:val="center"/>
            </w:pPr>
            <w:r>
              <w:t xml:space="preserve">21.26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TokenCut</w:t>
            </w:r>
          </w:p>
        </w:tc>
        <w:tc>
          <w:p>
            <w:pPr>
              <w:pStyle w:val="Compact"/>
              <w:jc w:val="center"/>
            </w:pPr>
            <w:r>
              <w:t xml:space="preserve">58.52</w:t>
            </w:r>
          </w:p>
        </w:tc>
        <w:tc>
          <w:p>
            <w:pPr>
              <w:pStyle w:val="Compact"/>
              <w:jc w:val="center"/>
            </w:pPr>
            <w:r>
              <w:t xml:space="preserve">6.17</w:t>
            </w:r>
          </w:p>
        </w:tc>
        <w:tc>
          <w:p>
            <w:pPr>
              <w:pStyle w:val="Compact"/>
              <w:jc w:val="center"/>
            </w:pPr>
            <w:r>
              <w:t xml:space="preserve">25.60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DINO-seg</w:t>
            </w:r>
          </w:p>
        </w:tc>
        <w:tc>
          <w:p>
            <w:pPr>
              <w:pStyle w:val="Compact"/>
              <w:jc w:val="center"/>
            </w:pPr>
            <w:r>
              <w:t xml:space="preserve">68.46</w:t>
            </w:r>
          </w:p>
        </w:tc>
        <w:tc>
          <w:p>
            <w:pPr>
              <w:pStyle w:val="Compact"/>
              <w:jc w:val="center"/>
            </w:pPr>
            <w:r>
              <w:t xml:space="preserve">8.83</w:t>
            </w:r>
          </w:p>
        </w:tc>
        <w:tc>
          <w:p>
            <w:pPr>
              <w:pStyle w:val="Compact"/>
              <w:jc w:val="center"/>
            </w:pPr>
            <w:r>
              <w:t xml:space="preserve">24.64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LaSt-ViT</w:t>
            </w:r>
          </w:p>
        </w:tc>
        <w:tc>
          <w:p>
            <w:pPr>
              <w:pStyle w:val="Compact"/>
              <w:jc w:val="center"/>
            </w:pPr>
            <w:r>
              <w:t xml:space="preserve">65.70</w:t>
            </w:r>
          </w:p>
        </w:tc>
        <w:tc>
          <w:p>
            <w:pPr>
              <w:pStyle w:val="Compact"/>
              <w:jc w:val="center"/>
            </w:pPr>
            <w:r>
              <w:t xml:space="preserve">13.31</w:t>
            </w:r>
          </w:p>
        </w:tc>
        <w:tc>
          <w:p>
            <w:pPr>
              <w:pStyle w:val="Compact"/>
              <w:jc w:val="center"/>
            </w:pPr>
            <w:r>
              <w:t xml:space="preserve">48.10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DAFB-CLS (ours)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79.43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31.27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45.07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 Discovery on COCO 2017.</w:t>
      </w:r>
      <w:r>
        <w:t xml:space="preserve"> </w:t>
      </w:r>
      <w:r>
        <w:t xml:space="preserve">To assess cross-dataset generalization, we evaluate on COCO without retraining. Table III shows that DAFB-CLS maintains consistent improvements: CorLoc reaches</w:t>
      </w:r>
      <w:r>
        <w:t xml:space="preserve"> </w:t>
      </w:r>
      <w:r>
        <w:rPr>
          <w:bCs/>
          <w:b/>
        </w:rPr>
        <w:t xml:space="preserve">72.96%</w:t>
      </w:r>
      <w:r>
        <w:t xml:space="preserve"> </w:t>
      </w:r>
      <w:r>
        <w:t xml:space="preserve">(+11.4 pp over LaSt-ViT, +18.2 pp over TokenCut) and Mask IoU reaches</w:t>
      </w:r>
      <w:r>
        <w:t xml:space="preserve"> </w:t>
      </w:r>
      <w:r>
        <w:rPr>
          <w:bCs/>
          <w:b/>
        </w:rPr>
        <w:t xml:space="preserve">28.73%</w:t>
      </w:r>
      <w:r>
        <w:t xml:space="preserve"> </w:t>
      </w:r>
      <w:r>
        <w:t xml:space="preserve">(+15.8 pp over LaSt-ViT, +22.0 pp over TokenCut). The Mask IoU improvement remains remarkably stable across datasets (+18.0 pp on VOC vs. +15.8 pp on COCO), validating that the adaptive soft mask generalizes across varying object scales and category distributions.</w:t>
      </w:r>
    </w:p>
    <w:p>
      <w:pPr>
        <w:pStyle w:val="BodyText"/>
      </w:pPr>
      <w:r>
        <w:rPr>
          <w:bCs/>
          <w:b/>
        </w:rPr>
        <w:t xml:space="preserve">TABLE III</w:t>
      </w:r>
    </w:p>
    <w:p>
      <w:pPr>
        <w:pStyle w:val="BodyText"/>
      </w:pPr>
      <w:r>
        <w:rPr>
          <w:bCs/>
          <w:b/>
        </w:rPr>
        <w:t xml:space="preserve">Object Discovery Results on COCO 2017 (DINO ViT-S/16)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CorLoc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Mask IoU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PiB</w:t>
            </w:r>
            <w:r>
              <w:t xml:space="preserve"> </w:t>
            </w:r>
            <w:r>
              <w:t xml:space="preserve">$`\uparrow`$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</w:t>
            </w:r>
          </w:p>
        </w:tc>
        <w:tc>
          <w:p>
            <w:pPr>
              <w:pStyle w:val="Compact"/>
              <w:jc w:val="center"/>
            </w:pPr>
            <w:r>
              <w:t xml:space="preserve">59.81</w:t>
            </w:r>
          </w:p>
        </w:tc>
        <w:tc>
          <w:p>
            <w:pPr>
              <w:pStyle w:val="Compact"/>
              <w:jc w:val="center"/>
            </w:pPr>
            <w:r>
              <w:t xml:space="preserve">4.30</w:t>
            </w:r>
          </w:p>
        </w:tc>
        <w:tc>
          <w:p>
            <w:pPr>
              <w:pStyle w:val="Compact"/>
              <w:jc w:val="center"/>
            </w:pPr>
            <w:r>
              <w:t xml:space="preserve">24.96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TokenCut</w:t>
            </w:r>
          </w:p>
        </w:tc>
        <w:tc>
          <w:p>
            <w:pPr>
              <w:pStyle w:val="Compact"/>
              <w:jc w:val="center"/>
            </w:pPr>
            <w:r>
              <w:t xml:space="preserve">54.75</w:t>
            </w:r>
          </w:p>
        </w:tc>
        <w:tc>
          <w:p>
            <w:pPr>
              <w:pStyle w:val="Compact"/>
              <w:jc w:val="center"/>
            </w:pPr>
            <w:r>
              <w:t xml:space="preserve">6.77</w:t>
            </w:r>
          </w:p>
        </w:tc>
        <w:tc>
          <w:p>
            <w:pPr>
              <w:pStyle w:val="Compact"/>
              <w:jc w:val="center"/>
            </w:pPr>
            <w:r>
              <w:t xml:space="preserve">31.97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DINO-seg</w:t>
            </w:r>
          </w:p>
        </w:tc>
        <w:tc>
          <w:p>
            <w:pPr>
              <w:pStyle w:val="Compact"/>
              <w:jc w:val="center"/>
            </w:pPr>
            <w:r>
              <w:t xml:space="preserve">67.23</w:t>
            </w:r>
          </w:p>
        </w:tc>
        <w:tc>
          <w:p>
            <w:pPr>
              <w:pStyle w:val="Compact"/>
              <w:jc w:val="center"/>
            </w:pPr>
            <w:r>
              <w:t xml:space="preserve">9.24</w:t>
            </w:r>
          </w:p>
        </w:tc>
        <w:tc>
          <w:p>
            <w:pPr>
              <w:pStyle w:val="Compact"/>
              <w:jc w:val="center"/>
            </w:pPr>
            <w:r>
              <w:t xml:space="preserve">29.00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LaSt-ViT</w:t>
            </w:r>
          </w:p>
        </w:tc>
        <w:tc>
          <w:p>
            <w:pPr>
              <w:pStyle w:val="Compact"/>
              <w:jc w:val="center"/>
            </w:pPr>
            <w:r>
              <w:t xml:space="preserve">61.53</w:t>
            </w:r>
          </w:p>
        </w:tc>
        <w:tc>
          <w:p>
            <w:pPr>
              <w:pStyle w:val="Compact"/>
              <w:jc w:val="center"/>
            </w:pPr>
            <w:r>
              <w:t xml:space="preserve">12.95</w:t>
            </w:r>
          </w:p>
        </w:tc>
        <w:tc>
          <w:p>
            <w:pPr>
              <w:pStyle w:val="Compact"/>
              <w:jc w:val="center"/>
            </w:pPr>
            <w:r>
              <w:t xml:space="preserve">45.09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DAFB-CLS (ours)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72.96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28.73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35.44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Open-Vocabulary Segmentation with OpenCLIP.</w:t>
      </w:r>
      <w:r>
        <w:t xml:space="preserve"> </w:t>
      </w:r>
      <w:r>
        <w:t xml:space="preserve">We further evaluate DAFB-CLS as a segmentation head on top of OpenCLIP ViT-B/16. Table IV compares against MaskCLIP, which uses CLIP’s penultimate-layer patch-text similarity for per-pixel class prediction. MaskCLIP achieves competitive CorLoc (74.88%) by leveraging CLIP’s pretrained vision-language alignment, but its Mask IoU is only 4.07% because it lacks explicit mask supervision and produces scattered per-patch predictions. DAFB-CLS improves Mask IoU to</w:t>
      </w:r>
      <w:r>
        <w:t xml:space="preserve"> </w:t>
      </w:r>
      <w:r>
        <w:rPr>
          <w:bCs/>
          <w:b/>
        </w:rPr>
        <w:t xml:space="preserve">33.32%</w:t>
      </w:r>
      <w:r>
        <w:t xml:space="preserve"> </w:t>
      </w:r>
      <w:r>
        <w:t xml:space="preserve">(+29.2 pp) by combining multi-cue foregroundness with supervised mask training, and achieves</w:t>
      </w:r>
      <w:r>
        <w:t xml:space="preserve"> </w:t>
      </w:r>
      <w:r>
        <w:rPr>
          <w:bCs/>
          <w:b/>
        </w:rPr>
        <w:t xml:space="preserve">79.64% PiB</w:t>
      </w:r>
      <w:r>
        <w:t xml:space="preserve"> </w:t>
      </w:r>
      <w:r>
        <w:t xml:space="preserve">(+40.0 pp), demonstrating that depth-adaptive aggregation substantially improves the spatial quality of the aggregated representation.</w:t>
      </w:r>
    </w:p>
    <w:p>
      <w:pPr>
        <w:pStyle w:val="BodyText"/>
      </w:pPr>
      <w:r>
        <w:rPr>
          <w:bCs/>
          <w:b/>
        </w:rPr>
        <w:t xml:space="preserve">TABLE IV</w:t>
      </w:r>
    </w:p>
    <w:p>
      <w:pPr>
        <w:pStyle w:val="BodyText"/>
      </w:pPr>
      <w:r>
        <w:rPr>
          <w:bCs/>
          <w:b/>
        </w:rPr>
        <w:t xml:space="preserve">Open-Vocabulary Results on VOC 2012 (OpenCLIP ViT-B/16)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CorLoc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Mask IoU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PiB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mIoU</w:t>
            </w:r>
            <w:r>
              <w:t xml:space="preserve"> </w:t>
            </w:r>
            <w:r>
              <w:t xml:space="preserve">$`\uparrow`$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MaskCLIP</w:t>
            </w:r>
          </w:p>
        </w:tc>
        <w:tc>
          <w:p>
            <w:pPr>
              <w:pStyle w:val="Compact"/>
              <w:jc w:val="center"/>
            </w:pPr>
            <w:r>
              <w:t xml:space="preserve">74.88</w:t>
            </w:r>
          </w:p>
        </w:tc>
        <w:tc>
          <w:p>
            <w:pPr>
              <w:pStyle w:val="Compact"/>
              <w:jc w:val="center"/>
            </w:pPr>
            <w:r>
              <w:t xml:space="preserve">4.07</w:t>
            </w:r>
          </w:p>
        </w:tc>
        <w:tc>
          <w:p>
            <w:pPr>
              <w:pStyle w:val="Compact"/>
              <w:jc w:val="center"/>
            </w:pPr>
            <w:r>
              <w:t xml:space="preserve">39.68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DAFB-CLS (ours)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77.29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33.32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79.64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61.70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Cross-Dataset Consistency.</w:t>
      </w:r>
      <w:r>
        <w:t xml:space="preserve"> </w:t>
      </w:r>
      <w:r>
        <w:t xml:space="preserve">Table V summarizes the improvement of DAFB-CLS over the strongest aggregation baseline across both datasets and backbone families. CorLoc gains range from +2.4 pp to +13.7 pp, and Mask IoU gains from +15.8 pp to +29.2 pp. The consistency of Mask IoU improvement across all four settings (</w:t>
      </w:r>
      <w:r>
        <w:t xml:space="preserve">$`2 \times`$</w:t>
      </w:r>
      <w:r>
        <w:t xml:space="preserve">backbones</w:t>
      </w:r>
      <w:r>
        <w:t xml:space="preserve"> </w:t>
      </w:r>
      <w:r>
        <w:t xml:space="preserve">$`\times`$</w:t>
      </w:r>
      <w:r>
        <w:t xml:space="preserve"> </w:t>
      </w:r>
      <w:r>
        <w:t xml:space="preserve">$`2 \times`$</w:t>
      </w:r>
      <w:r>
        <w:t xml:space="preserve">datasets) confirms that the multi-cue foregroundness and adaptive budget provide a general mechanism rather than a dataset-specific artifact.</w:t>
      </w:r>
    </w:p>
    <w:p>
      <w:pPr>
        <w:pStyle w:val="BodyText"/>
      </w:pPr>
      <w:r>
        <w:rPr>
          <w:bCs/>
          <w:b/>
        </w:rPr>
        <w:t xml:space="preserve">TABLE V</w:t>
      </w:r>
    </w:p>
    <w:p>
      <w:pPr>
        <w:pStyle w:val="BodyText"/>
      </w:pPr>
      <w:r>
        <w:rPr>
          <w:bCs/>
          <w:b/>
        </w:rPr>
        <w:t xml:space="preserve">DAFB-CLS Improvement over Strongest Aggregation Baseline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p>
            <w:pPr>
              <w:pStyle w:val="Compact"/>
              <w:jc w:val="center"/>
            </w:pPr>
            <w:r>
              <w:t xml:space="preserve">$`\Delta`$</w:t>
            </w:r>
            <w:r>
              <w:t xml:space="preserve">CorLoc</w:t>
            </w:r>
          </w:p>
        </w:tc>
        <w:tc>
          <w:p>
            <w:pPr>
              <w:pStyle w:val="Compact"/>
              <w:jc w:val="center"/>
            </w:pPr>
            <w:r>
              <w:t xml:space="preserve">$`\Delta`$</w:t>
            </w:r>
            <w:r>
              <w:t xml:space="preserve">Mask IoU</w:t>
            </w:r>
          </w:p>
        </w:tc>
        <w:tc>
          <w:p>
            <w:pPr>
              <w:pStyle w:val="Compact"/>
              <w:jc w:val="center"/>
            </w:pPr>
            <w:r>
              <w:t xml:space="preserve">$`\Delta`$</w:t>
            </w:r>
            <w:r>
              <w:t xml:space="preserve">PiB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DINO-S, VOC (vs LaSt-ViT)</w:t>
            </w:r>
          </w:p>
        </w:tc>
        <w:tc>
          <w:p>
            <w:pPr>
              <w:pStyle w:val="Compact"/>
              <w:jc w:val="center"/>
            </w:pPr>
            <w:r>
              <w:t xml:space="preserve">+13.7</w:t>
            </w:r>
          </w:p>
        </w:tc>
        <w:tc>
          <w:p>
            <w:pPr>
              <w:pStyle w:val="Compact"/>
              <w:jc w:val="center"/>
            </w:pPr>
            <w:r>
              <w:t xml:space="preserve">+18.0</w:t>
            </w:r>
          </w:p>
        </w:tc>
        <w:tc>
          <w:p>
            <w:pPr>
              <w:pStyle w:val="Compact"/>
              <w:jc w:val="center"/>
            </w:pPr>
            <w:r>
              <w:t xml:space="preserve">$</w:t>
            </w:r>
            <w:r>
              <w:rPr>
                <w:rStyle w:val="VerbatimChar"/>
              </w:rPr>
              <w:t xml:space="preserve">-</w:t>
            </w:r>
            <w:r>
              <w:t xml:space="preserve">$3.0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DINO-S, COCO (vs LaSt-ViT)</w:t>
            </w:r>
          </w:p>
        </w:tc>
        <w:tc>
          <w:p>
            <w:pPr>
              <w:pStyle w:val="Compact"/>
              <w:jc w:val="center"/>
            </w:pPr>
            <w:r>
              <w:t xml:space="preserve">+11.4</w:t>
            </w:r>
          </w:p>
        </w:tc>
        <w:tc>
          <w:p>
            <w:pPr>
              <w:pStyle w:val="Compact"/>
              <w:jc w:val="center"/>
            </w:pPr>
            <w:r>
              <w:t xml:space="preserve">+15.8</w:t>
            </w:r>
          </w:p>
        </w:tc>
        <w:tc>
          <w:p>
            <w:pPr>
              <w:pStyle w:val="Compact"/>
              <w:jc w:val="center"/>
            </w:pPr>
            <w:r>
              <w:t xml:space="preserve">$</w:t>
            </w:r>
            <w:r>
              <w:rPr>
                <w:rStyle w:val="VerbatimChar"/>
              </w:rPr>
              <w:t xml:space="preserve">-</w:t>
            </w:r>
            <w:r>
              <w:t xml:space="preserve">$9.7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CLIP-B, VOC (vs MaskCLIP)</w:t>
            </w:r>
          </w:p>
        </w:tc>
        <w:tc>
          <w:p>
            <w:pPr>
              <w:pStyle w:val="Compact"/>
              <w:jc w:val="center"/>
            </w:pPr>
            <w:r>
              <w:t xml:space="preserve">+2.4</w:t>
            </w:r>
          </w:p>
        </w:tc>
        <w:tc>
          <w:p>
            <w:pPr>
              <w:pStyle w:val="Compact"/>
              <w:jc w:val="center"/>
            </w:pPr>
            <w:r>
              <w:t xml:space="preserve">+29.2</w:t>
            </w:r>
          </w:p>
        </w:tc>
        <w:tc>
          <w:p>
            <w:pPr>
              <w:pStyle w:val="Compact"/>
              <w:jc w:val="center"/>
            </w:pPr>
            <w:r>
              <w:t xml:space="preserve">+40.0</w:t>
            </w:r>
          </w:p>
        </w:tc>
      </w:tr>
    </w:tbl>
    <w:bookmarkEnd w:id="21"/>
    <w:bookmarkStart w:id="22" w:name="c.-ablation-studies"/>
    <w:p>
      <w:pPr>
        <w:pStyle w:val="Heading2"/>
      </w:pPr>
      <w:r>
        <w:t xml:space="preserve">C. Ablation Studies</w:t>
      </w:r>
    </w:p>
    <w:p>
      <w:pPr>
        <w:pStyle w:val="FirstParagraph"/>
      </w:pPr>
      <w:r>
        <w:t xml:space="preserve">To isolate the contribution of each component, we conduct systematic ablation on DINO ViT-S/16 + VOC. Each variant removes or replaces a single design choice from the full framework. Table VI presents the results.</w:t>
      </w:r>
    </w:p>
    <w:p>
      <w:pPr>
        <w:pStyle w:val="BodyText"/>
      </w:pPr>
      <w:r>
        <w:rPr>
          <w:bCs/>
          <w:b/>
        </w:rPr>
        <w:t xml:space="preserve">TABLE VI</w:t>
      </w:r>
    </w:p>
    <w:p>
      <w:pPr>
        <w:pStyle w:val="BodyText"/>
      </w:pPr>
      <w:r>
        <w:rPr>
          <w:bCs/>
          <w:b/>
        </w:rPr>
        <w:t xml:space="preserve">Ablation Study on VOC 2012 (DINO ViT-S/16)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p>
            <w:pPr>
              <w:pStyle w:val="Compact"/>
              <w:jc w:val="center"/>
            </w:pPr>
            <w:r>
              <w:t xml:space="preserve">CorLoc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Mask IoU</w:t>
            </w:r>
            <w:r>
              <w:t xml:space="preserve"> </w:t>
            </w:r>
            <w:r>
              <w:t xml:space="preserve">$`\uparrow`$</w:t>
            </w:r>
          </w:p>
        </w:tc>
        <w:tc>
          <w:p>
            <w:pPr>
              <w:pStyle w:val="Compact"/>
              <w:jc w:val="center"/>
            </w:pPr>
            <w:r>
              <w:t xml:space="preserve">PiB</w:t>
            </w:r>
            <w:r>
              <w:t xml:space="preserve"> </w:t>
            </w:r>
            <w:r>
              <w:t xml:space="preserve">$`\uparrow`$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(raw ViT)</w:t>
            </w:r>
          </w:p>
        </w:tc>
        <w:tc>
          <w:p>
            <w:pPr>
              <w:pStyle w:val="Compact"/>
              <w:jc w:val="center"/>
            </w:pPr>
            <w:r>
              <w:t xml:space="preserve">29.33</w:t>
            </w:r>
          </w:p>
        </w:tc>
        <w:tc>
          <w:p>
            <w:pPr>
              <w:pStyle w:val="Compact"/>
              <w:jc w:val="center"/>
            </w:pPr>
            <w:r>
              <w:t xml:space="preserve">30.76</w:t>
            </w:r>
          </w:p>
        </w:tc>
        <w:tc>
          <w:p>
            <w:pPr>
              <w:pStyle w:val="Compact"/>
              <w:jc w:val="center"/>
            </w:pPr>
            <w:r>
              <w:t xml:space="preserve">42.72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DAFB-CLS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79.43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31.27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45.07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w/o Multi-Cue Foregroundness</w:t>
            </w:r>
          </w:p>
        </w:tc>
        <w:tc>
          <w:p>
            <w:pPr>
              <w:pStyle w:val="Compact"/>
              <w:jc w:val="center"/>
            </w:pPr>
            <w:r>
              <w:t xml:space="preserve">47.48</w:t>
            </w:r>
          </w:p>
        </w:tc>
        <w:tc>
          <w:p>
            <w:pPr>
              <w:pStyle w:val="Compact"/>
              <w:jc w:val="center"/>
            </w:pPr>
            <w:r>
              <w:t xml:space="preserve">30.16</w:t>
            </w:r>
          </w:p>
        </w:tc>
        <w:tc>
          <w:p>
            <w:pPr>
              <w:pStyle w:val="Compact"/>
              <w:jc w:val="center"/>
            </w:pPr>
            <w:r>
              <w:t xml:space="preserve">31.68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w/o Adaptive Budget</w:t>
            </w:r>
          </w:p>
        </w:tc>
        <w:tc>
          <w:p>
            <w:pPr>
              <w:pStyle w:val="Compact"/>
              <w:jc w:val="center"/>
            </w:pPr>
            <w:r>
              <w:t xml:space="preserve">79.78</w:t>
            </w:r>
          </w:p>
        </w:tc>
        <w:tc>
          <w:p>
            <w:pPr>
              <w:pStyle w:val="Compact"/>
              <w:jc w:val="center"/>
            </w:pPr>
            <w:r>
              <w:t xml:space="preserve">13.91</w:t>
            </w:r>
          </w:p>
        </w:tc>
        <w:tc>
          <w:p>
            <w:pPr>
              <w:pStyle w:val="Compact"/>
              <w:jc w:val="center"/>
            </w:pPr>
            <w:r>
              <w:t xml:space="preserve">53.62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w/o Dual CLS Decoupling</w:t>
            </w:r>
          </w:p>
        </w:tc>
        <w:tc>
          <w:p>
            <w:pPr>
              <w:pStyle w:val="Compact"/>
              <w:jc w:val="center"/>
            </w:pPr>
            <w:r>
              <w:t xml:space="preserve">78.40</w:t>
            </w:r>
          </w:p>
        </w:tc>
        <w:tc>
          <w:p>
            <w:pPr>
              <w:pStyle w:val="Compact"/>
              <w:jc w:val="center"/>
            </w:pPr>
            <w:r>
              <w:t xml:space="preserve">31.25</w:t>
            </w:r>
          </w:p>
        </w:tc>
        <w:tc>
          <w:p>
            <w:pPr>
              <w:pStyle w:val="Compact"/>
              <w:jc w:val="center"/>
            </w:pPr>
            <w:r>
              <w:t xml:space="preserve">33.13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Depth Attention</w:t>
            </w:r>
          </w:p>
        </w:tc>
        <w:tc>
          <w:p>
            <w:pPr>
              <w:pStyle w:val="Compact"/>
              <w:jc w:val="center"/>
            </w:pPr>
            <w:r>
              <w:t xml:space="preserve">77.43</w:t>
            </w:r>
          </w:p>
        </w:tc>
        <w:tc>
          <w:p>
            <w:pPr>
              <w:pStyle w:val="Compact"/>
              <w:jc w:val="center"/>
            </w:pPr>
            <w:r>
              <w:t xml:space="preserve">31.18</w:t>
            </w:r>
          </w:p>
        </w:tc>
        <w:tc>
          <w:p>
            <w:pPr>
              <w:pStyle w:val="Compact"/>
              <w:jc w:val="center"/>
            </w:pPr>
            <w:r>
              <w:t xml:space="preserve">28.36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Top-K (fixed 30%)</w:t>
            </w:r>
          </w:p>
        </w:tc>
        <w:tc>
          <w:p>
            <w:pPr>
              <w:pStyle w:val="Compact"/>
              <w:jc w:val="center"/>
            </w:pPr>
            <w:r>
              <w:t xml:space="preserve">81.71</w:t>
            </w:r>
          </w:p>
        </w:tc>
        <w:tc>
          <w:p>
            <w:pPr>
              <w:pStyle w:val="Compact"/>
              <w:jc w:val="center"/>
            </w:pPr>
            <w:r>
              <w:t xml:space="preserve">22.68</w:t>
            </w:r>
          </w:p>
        </w:tc>
        <w:tc>
          <w:p>
            <w:pPr>
              <w:pStyle w:val="Compact"/>
              <w:jc w:val="center"/>
            </w:pPr>
            <w:r>
              <w:t xml:space="preserve">51.76</w:t>
            </w:r>
          </w:p>
        </w:tc>
      </w:tr>
    </w:tbl>
    <w:p>
      <w:pPr>
        <w:pStyle w:val="BodyText"/>
      </w:pPr>
      <w:r>
        <w:rPr>
          <w:bCs/>
          <w:b/>
        </w:rPr>
        <w:t xml:space="preserve">Multi-cue foregroundness is the foundation.</w:t>
      </w:r>
      <w:r>
        <w:t xml:space="preserve"> </w:t>
      </w:r>
      <w:r>
        <w:t xml:space="preserve">Removing all four cues collapses CorLoc from 79.43% to 47.48% ($</w:t>
      </w:r>
      <w:r>
        <w:rPr>
          <w:rStyle w:val="VerbatimChar"/>
        </w:rPr>
        <w:t xml:space="preserve">-</w:t>
      </w:r>
      <w:r>
        <w:t xml:space="preserve">$32.0 pp), confirming that the foregroundness score provides the essential spatial selection signal. Without cues, the aggregation degenerates to near-random patch averaging.</w:t>
      </w:r>
    </w:p>
    <w:p>
      <w:pPr>
        <w:pStyle w:val="BodyText"/>
      </w:pPr>
      <w:r>
        <w:rPr>
          <w:bCs/>
          <w:b/>
        </w:rPr>
        <w:t xml:space="preserve">Adaptive budget prevents masking collapse.</w:t>
      </w:r>
      <w:r>
        <w:t xml:space="preserve"> </w:t>
      </w:r>
      <w:r>
        <w:t xml:space="preserve">Replacing the adaptive threshold with fixed Top-K at 30% achieves high CorLoc (81.71%) but degrades Mask IoU from 31.27% to 22.68% ($</w:t>
      </w:r>
      <w:r>
        <w:rPr>
          <w:rStyle w:val="VerbatimChar"/>
        </w:rPr>
        <w:t xml:space="preserve">-</w:t>
      </w:r>
      <m:oMath>
        <m:r>
          <m:t>8.6</m:t>
        </m:r>
        <m:r>
          <m:t>p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R</m:t>
        </m:r>
        <m:r>
          <m:t>e</m:t>
        </m:r>
        <m:r>
          <m:t>m</m:t>
        </m:r>
        <m:r>
          <m:t>o</m:t>
        </m:r>
        <m:r>
          <m:t>v</m:t>
        </m:r>
        <m:r>
          <m:t>i</m:t>
        </m:r>
        <m:r>
          <m:t>n</m:t>
        </m:r>
        <m:r>
          <m:t>g</m:t>
        </m:r>
        <m:r>
          <m:t>t</m:t>
        </m:r>
        <m:r>
          <m:t>h</m:t>
        </m:r>
        <m:r>
          <m:t>e</m:t>
        </m:r>
        <m:r>
          <m:t>b</m:t>
        </m:r>
        <m:r>
          <m:t>u</m:t>
        </m:r>
        <m:r>
          <m:t>d</m:t>
        </m:r>
        <m:r>
          <m:t>g</m:t>
        </m:r>
        <m:r>
          <m:t>e</m:t>
        </m:r>
        <m:r>
          <m:t>t</m:t>
        </m:r>
        <m:r>
          <m:t>r</m:t>
        </m:r>
        <m:r>
          <m:t>e</m:t>
        </m:r>
        <m:r>
          <m:t>g</m:t>
        </m:r>
        <m:r>
          <m:t>u</m:t>
        </m:r>
        <m:r>
          <m:t>l</m:t>
        </m:r>
        <m:r>
          <m:t>a</m:t>
        </m:r>
        <m:r>
          <m:t>r</m:t>
        </m:r>
        <m:r>
          <m:t>i</m:t>
        </m:r>
        <m:r>
          <m:t>z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t>l</m:t>
        </m:r>
        <m:r>
          <m:t>o</m:t>
        </m:r>
        <m:r>
          <m:t>s</m:t>
        </m:r>
        <m:r>
          <m:t>s</m:t>
        </m:r>
        <m:r>
          <m:t>e</m:t>
        </m:r>
        <m:r>
          <m:t>n</m:t>
        </m:r>
        <m:r>
          <m:t>t</m:t>
        </m:r>
        <m:r>
          <m:t>i</m:t>
        </m:r>
        <m:r>
          <m:t>r</m:t>
        </m:r>
        <m:r>
          <m:t>e</m:t>
        </m:r>
        <m:r>
          <m:t>l</m:t>
        </m:r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/</m:t>
        </m:r>
        <m:r>
          <m:t>o</m:t>
        </m:r>
        <m:r>
          <m:t>A</m:t>
        </m:r>
        <m:r>
          <m:t>d</m:t>
        </m:r>
        <m:r>
          <m:t>a</m:t>
        </m:r>
        <m:r>
          <m:t>p</m:t>
        </m:r>
        <m:r>
          <m:t>t</m:t>
        </m:r>
        <m:r>
          <m:t>i</m:t>
        </m:r>
        <m:r>
          <m:t>v</m:t>
        </m:r>
        <m:r>
          <m:t>e</m:t>
        </m:r>
        <m:r>
          <m:t>B</m:t>
        </m:r>
        <m:r>
          <m:t>u</m:t>
        </m:r>
        <m:r>
          <m:t>d</m:t>
        </m:r>
        <m:r>
          <m:t>g</m:t>
        </m:r>
        <m:r>
          <m:t>e</m:t>
        </m:r>
        <m:r>
          <m:t>t</m:t>
        </m:r>
        <m:r>
          <m:rPr>
            <m:sty m:val="p"/>
          </m:rPr>
          <m:t>)</m:t>
        </m:r>
        <m:r>
          <m:t>p</m:t>
        </m:r>
        <m:r>
          <m:t>r</m:t>
        </m:r>
        <m:r>
          <m:t>e</m:t>
        </m:r>
        <m:r>
          <m:t>s</m:t>
        </m:r>
        <m:r>
          <m:t>e</m:t>
        </m:r>
        <m:r>
          <m:t>r</m:t>
        </m:r>
        <m:r>
          <m:t>v</m:t>
        </m:r>
        <m:r>
          <m:t>e</m:t>
        </m:r>
        <m:r>
          <m:t>s</m:t>
        </m:r>
        <m:r>
          <m:t>C</m:t>
        </m:r>
        <m:r>
          <m:t>o</m:t>
        </m:r>
        <m:r>
          <m:t>r</m:t>
        </m:r>
        <m:r>
          <m:t>L</m:t>
        </m:r>
        <m:r>
          <m:t>o</m:t>
        </m:r>
        <m:r>
          <m:t>c</m:t>
        </m:r>
        <m:r>
          <m:rPr>
            <m:sty m:val="p"/>
          </m:rPr>
          <m:t>(</m:t>
        </m:r>
        <m:r>
          <m:t>79.78</m:t>
        </m:r>
      </m:oMath>
      <w:r>
        <w:rPr>
          <w:rStyle w:val="VerbatimChar"/>
        </w:rPr>
        <w:t xml:space="preserve">-</w:t>
      </w:r>
      <w:r>
        <w:t xml:space="preserve">$17.4 pp), as the sigmoid mask collapses to all-foreground or all-background without the range penalty. These results confirm that the image-adaptive threshold is critical for mask quality.</w:t>
      </w:r>
    </w:p>
    <w:p>
      <w:pPr>
        <w:pStyle w:val="BodyText"/>
      </w:pPr>
      <w:r>
        <w:rPr>
          <w:bCs/>
          <w:b/>
        </w:rPr>
        <w:t xml:space="preserve">Dual CLS decoupling improves spatial localization.</w:t>
      </w:r>
      <w:r>
        <w:t xml:space="preserve"> </w:t>
      </w:r>
      <w:r>
        <w:t xml:space="preserve">Removing the background stream (w/o Dual CLS) drops PiB from 45.07% to 33.13% ($</w:t>
      </w:r>
      <w:r>
        <w:rPr>
          <w:rStyle w:val="VerbatimChar"/>
        </w:rPr>
        <w:t xml:space="preserve">-</w:t>
      </w:r>
      <w:r>
        <w:t xml:space="preserve">$11.9 pp), indicating that maintaining a separate background representation helps the foreground stream concentrate on object regions.</w:t>
      </w:r>
    </w:p>
    <w:p>
      <w:pPr>
        <w:pStyle w:val="BodyText"/>
      </w:pPr>
      <w:r>
        <w:rPr>
          <w:bCs/>
          <w:b/>
        </w:rPr>
        <w:t xml:space="preserve">Independent depth attention benefits each stream.</w:t>
      </w:r>
      <w:r>
        <w:t xml:space="preserve"> </w:t>
      </w:r>
      <w:r>
        <w:t xml:space="preserve">Sharing a single depth attention across both streams reduces PiB from 45.07% to 28.36% ($</w:t>
      </w:r>
      <w:r>
        <w:rPr>
          <w:rStyle w:val="VerbatimChar"/>
        </w:rPr>
        <w:t xml:space="preserve">-</w:t>
      </w:r>
      <w:r>
        <w:t xml:space="preserve">$16.7 pp), confirming that foreground and background require distinct depth aggregation patterns. Foreground objects benefit from later semantic layers, while background context relies on earlier spatial layers.</w:t>
      </w:r>
    </w:p>
    <w:p>
      <w:pPr>
        <w:pStyle w:val="BodyText"/>
      </w:pPr>
      <w:r>
        <w:rPr>
          <w:bCs/>
          <w:b/>
        </w:rPr>
        <w:t xml:space="preserve">Summary.</w:t>
      </w:r>
      <w:r>
        <w:t xml:space="preserve"> </w:t>
      </w:r>
      <w:r>
        <w:t xml:space="preserve">The ablation reveals a clear hierarchy: multi-cue foregroundness drives CorLoc (spatial selection), adaptive budget drives Mask IoU (mask precision), and dual CLS with independent depth attention drives PiB (representation quality). Each component addresses a distinct failure mode, and all are necessary for the full framework’s performance.</w:t>
      </w:r>
    </w:p>
    <w:bookmarkEnd w:id="22"/>
    <w:bookmarkStart w:id="23" w:name="d.-stress-test"/>
    <w:p>
      <w:pPr>
        <w:pStyle w:val="Heading2"/>
      </w:pPr>
      <w:r>
        <w:t xml:space="preserve">D. Stress Test</w:t>
      </w:r>
    </w:p>
    <w:p>
      <w:pPr>
        <w:pStyle w:val="FirstParagraph"/>
      </w:pPr>
      <w:r>
        <w:t xml:space="preserve">To characterize failure modes, we evaluate the full DAFB-CLS model (DINO ViT-S/16) on four challenging subsets of VOC 2012.</w:t>
      </w:r>
    </w:p>
    <w:p>
      <w:pPr>
        <w:pStyle w:val="BodyText"/>
      </w:pPr>
      <w:r>
        <w:rPr>
          <w:bCs/>
          <w:b/>
        </w:rPr>
        <w:t xml:space="preserve">TABLE VII</w:t>
      </w:r>
    </w:p>
    <w:p>
      <w:pPr>
        <w:pStyle w:val="BodyText"/>
      </w:pPr>
      <w:r>
        <w:rPr>
          <w:bCs/>
          <w:b/>
        </w:rPr>
        <w:t xml:space="preserve">Stress Test Results (DINO ViT-S/16)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center"/>
            </w:pPr>
            <w:r>
              <w:t xml:space="preserve">FG IoU</w:t>
            </w:r>
          </w:p>
        </w:tc>
        <w:tc>
          <w:p>
            <w:pPr>
              <w:pStyle w:val="Compact"/>
              <w:jc w:val="center"/>
            </w:pPr>
            <w:r>
              <w:t xml:space="preserve">PiB</w:t>
            </w:r>
          </w:p>
        </w:tc>
        <w:tc>
          <w:p>
            <w:pPr>
              <w:pStyle w:val="Compact"/>
              <w:jc w:val="center"/>
            </w:pPr>
            <w:r>
              <w:t xml:space="preserve">Pred FG 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Stable Background</w:t>
            </w:r>
          </w:p>
        </w:tc>
        <w:tc>
          <w:p>
            <w:pPr>
              <w:pStyle w:val="Compact"/>
              <w:jc w:val="center"/>
            </w:pPr>
            <w:r>
              <w:t xml:space="preserve">551</w:t>
            </w:r>
          </w:p>
        </w:tc>
        <w:tc>
          <w:p>
            <w:pPr>
              <w:pStyle w:val="Compact"/>
              <w:jc w:val="center"/>
            </w:pPr>
            <w:r>
              <w:t xml:space="preserve">13.02</w:t>
            </w:r>
          </w:p>
        </w:tc>
        <w:tc>
          <w:p>
            <w:pPr>
              <w:pStyle w:val="Compact"/>
              <w:jc w:val="center"/>
            </w:pPr>
            <w:r>
              <w:t xml:space="preserve">20.87</w:t>
            </w:r>
          </w:p>
        </w:tc>
        <w:tc>
          <w:p>
            <w:pPr>
              <w:pStyle w:val="Compact"/>
              <w:jc w:val="center"/>
            </w:pPr>
            <w:r>
              <w:t xml:space="preserve">0.484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Textured Foreground</w:t>
            </w:r>
          </w:p>
        </w:tc>
        <w:tc>
          <w:p>
            <w:pPr>
              <w:pStyle w:val="Compact"/>
              <w:jc w:val="center"/>
            </w:pPr>
            <w:r>
              <w:t xml:space="preserve">898</w:t>
            </w:r>
          </w:p>
        </w:tc>
        <w:tc>
          <w:p>
            <w:pPr>
              <w:pStyle w:val="Compact"/>
              <w:jc w:val="center"/>
            </w:pPr>
            <w:r>
              <w:t xml:space="preserve">34.42</w:t>
            </w:r>
          </w:p>
        </w:tc>
        <w:tc>
          <w:p>
            <w:pPr>
              <w:pStyle w:val="Compact"/>
              <w:jc w:val="center"/>
            </w:pPr>
            <w:r>
              <w:t xml:space="preserve">43.88</w:t>
            </w:r>
          </w:p>
        </w:tc>
        <w:tc>
          <w:p>
            <w:pPr>
              <w:pStyle w:val="Compact"/>
              <w:jc w:val="center"/>
            </w:pPr>
            <w:r>
              <w:t xml:space="preserve">0.586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Object</w:t>
            </w:r>
          </w:p>
        </w:tc>
        <w:tc>
          <w:p>
            <w:pPr>
              <w:pStyle w:val="Compact"/>
              <w:jc w:val="center"/>
            </w:pPr>
            <w:r>
              <w:t xml:space="preserve">450</w:t>
            </w:r>
          </w:p>
        </w:tc>
        <w:tc>
          <w:p>
            <w:pPr>
              <w:pStyle w:val="Compact"/>
              <w:jc w:val="center"/>
            </w:pPr>
            <w:r>
              <w:t xml:space="preserve">26.92</w:t>
            </w:r>
          </w:p>
        </w:tc>
        <w:tc>
          <w:p>
            <w:pPr>
              <w:pStyle w:val="Compact"/>
              <w:jc w:val="center"/>
            </w:pPr>
            <w:r>
              <w:t xml:space="preserve">34.67</w:t>
            </w:r>
          </w:p>
        </w:tc>
        <w:tc>
          <w:p>
            <w:pPr>
              <w:pStyle w:val="Compact"/>
              <w:jc w:val="center"/>
            </w:pPr>
            <w:r>
              <w:t xml:space="preserve">0.550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Multi-Object</w:t>
            </w:r>
          </w:p>
        </w:tc>
        <w:tc>
          <w:p>
            <w:pPr>
              <w:pStyle w:val="Compact"/>
              <w:jc w:val="center"/>
            </w:pPr>
            <w:r>
              <w:t xml:space="preserve">436</w:t>
            </w:r>
          </w:p>
        </w:tc>
        <w:tc>
          <w:p>
            <w:pPr>
              <w:pStyle w:val="Compact"/>
              <w:jc w:val="center"/>
            </w:pPr>
            <w:r>
              <w:t xml:space="preserve">36.19</w:t>
            </w:r>
          </w:p>
        </w:tc>
        <w:tc>
          <w:p>
            <w:pPr>
              <w:pStyle w:val="Compact"/>
              <w:jc w:val="center"/>
            </w:pPr>
            <w:r>
              <w:t xml:space="preserve">43.12</w:t>
            </w:r>
          </w:p>
        </w:tc>
        <w:tc>
          <w:p>
            <w:pPr>
              <w:pStyle w:val="Compact"/>
              <w:jc w:val="center"/>
            </w:pPr>
            <w:r>
              <w:t xml:space="preserve">0.600</w:t>
            </w:r>
          </w:p>
        </w:tc>
      </w:tr>
    </w:tbl>
    <w:p>
      <w:pPr>
        <w:pStyle w:val="BodyText"/>
      </w:pPr>
      <w:r>
        <w:t xml:space="preserve">Stable background scenes (sky, walls, water) remain the primary failure mode, with foreground IoU dropping to 13.02%. The root cause is that the frequency stability cue conflates smooth foreground objects with smooth background regions, as both produce similar low-frequency activations. The predicted foreground ratio (0.48) substantially overestimates the true foreground proportion (&lt;0.20), indicating that the adaptive budget alone cannot compensate when the underlying cue signal is unreliable. The model performs well on textured objects (34.42% FG IoU), small objects (26.92%), and multi-object scenes (36.19%), where frequency stability and depth consistency cues provide reliable foreground signals.</w:t>
      </w:r>
    </w:p>
    <w:bookmarkEnd w:id="23"/>
    <w:bookmarkStart w:id="24" w:name="e.-efficiency-analysis"/>
    <w:p>
      <w:pPr>
        <w:pStyle w:val="Heading2"/>
      </w:pPr>
      <w:r>
        <w:t xml:space="preserve">E. Efficiency Analysis</w:t>
      </w:r>
    </w:p>
    <w:p>
      <w:pPr>
        <w:pStyle w:val="FirstParagraph"/>
      </w:pPr>
      <w:r>
        <w:t xml:space="preserve">Table VIII reports parameter count, inference latency, and GPU memory overhead. All measurements use batch size 1 and 224$</w:t>
      </w:r>
      <w:r>
        <w:rPr>
          <w:rStyle w:val="VerbatimChar"/>
        </w:rPr>
        <w:t xml:space="preserve">\times</w:t>
      </w:r>
      <w:r>
        <w:t xml:space="preserve">$224 input on a single NVIDIA RTX 4070 GPU.</w:t>
      </w:r>
    </w:p>
    <w:p>
      <w:pPr>
        <w:pStyle w:val="BodyText"/>
      </w:pPr>
      <w:r>
        <w:rPr>
          <w:bCs/>
          <w:b/>
        </w:rPr>
        <w:t xml:space="preserve">TABLE VIII</w:t>
      </w:r>
    </w:p>
    <w:p>
      <w:pPr>
        <w:pStyle w:val="BodyText"/>
      </w:pPr>
      <w:r>
        <w:rPr>
          <w:bCs/>
          <w:b/>
        </w:rPr>
        <w:t xml:space="preserve">Efficiency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center"/>
            </w:pPr>
            <w:r>
              <w:t xml:space="preserve">Total Params</w:t>
            </w:r>
          </w:p>
        </w:tc>
        <w:tc>
          <w:p>
            <w:pPr>
              <w:pStyle w:val="Compact"/>
              <w:jc w:val="center"/>
            </w:pPr>
            <w:r>
              <w:t xml:space="preserve">Trainable</w:t>
            </w:r>
          </w:p>
        </w:tc>
        <w:tc>
          <w:p>
            <w:pPr>
              <w:pStyle w:val="Compact"/>
              <w:jc w:val="center"/>
            </w:pPr>
            <w:r>
              <w:t xml:space="preserve">Latency</w:t>
            </w:r>
          </w:p>
        </w:tc>
        <w:tc>
          <w:p>
            <w:pPr>
              <w:pStyle w:val="Compact"/>
              <w:jc w:val="center"/>
            </w:pPr>
            <w:r>
              <w:t xml:space="preserve">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 ViT-S/16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center"/>
            </w:pPr>
            <w:r>
              <w:t xml:space="preserve">21.67M</w:t>
            </w:r>
          </w:p>
        </w:tc>
        <w:tc>
          <w:p>
            <w:pPr>
              <w:pStyle w:val="Compact"/>
              <w:jc w:val="center"/>
            </w:pPr>
            <w:r>
              <w:t xml:space="preserve">0.0004M</w:t>
            </w:r>
          </w:p>
        </w:tc>
        <w:tc>
          <w:p>
            <w:pPr>
              <w:pStyle w:val="Compact"/>
              <w:jc w:val="center"/>
            </w:pPr>
            <w:r>
              <w:t xml:space="preserve">5.90 ms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LaSt-ViT</w:t>
            </w:r>
          </w:p>
        </w:tc>
        <w:tc>
          <w:p>
            <w:pPr>
              <w:pStyle w:val="Compact"/>
              <w:jc w:val="center"/>
            </w:pPr>
            <w:r>
              <w:t xml:space="preserve">22.25M</w:t>
            </w:r>
          </w:p>
        </w:tc>
        <w:tc>
          <w:p>
            <w:pPr>
              <w:pStyle w:val="Compact"/>
              <w:jc w:val="center"/>
            </w:pPr>
            <w:r>
              <w:t xml:space="preserve">0.59M</w:t>
            </w:r>
          </w:p>
        </w:tc>
        <w:tc>
          <w:p>
            <w:pPr>
              <w:pStyle w:val="Compact"/>
              <w:jc w:val="center"/>
            </w:pPr>
            <w:r>
              <w:t xml:space="preserve">6.21 ms</w:t>
            </w:r>
          </w:p>
        </w:tc>
        <w:tc>
          <w:p>
            <w:pPr>
              <w:pStyle w:val="Compact"/>
              <w:jc w:val="center"/>
            </w:pPr>
            <w:r>
              <w:t xml:space="preserve">1.05</w:t>
            </w:r>
            <w:r>
              <w:t xml:space="preserve">$`\times`$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DAFB-CLS</w:t>
            </w:r>
          </w:p>
        </w:tc>
        <w:tc>
          <w:p>
            <w:pPr>
              <w:pStyle w:val="Compact"/>
              <w:jc w:val="center"/>
            </w:pPr>
            <w:r>
              <w:t xml:space="preserve">22.25M</w:t>
            </w:r>
          </w:p>
        </w:tc>
        <w:tc>
          <w:p>
            <w:pPr>
              <w:pStyle w:val="Compact"/>
              <w:jc w:val="center"/>
            </w:pPr>
            <w:r>
              <w:t xml:space="preserve">0.59M</w:t>
            </w:r>
          </w:p>
        </w:tc>
        <w:tc>
          <w:p>
            <w:pPr>
              <w:pStyle w:val="Compact"/>
              <w:jc w:val="center"/>
            </w:pPr>
            <w:r>
              <w:t xml:space="preserve">7.72 ms</w:t>
            </w:r>
          </w:p>
        </w:tc>
        <w:tc>
          <w:p>
            <w:pPr>
              <w:pStyle w:val="Compact"/>
              <w:jc w:val="center"/>
            </w:pPr>
            <w:r>
              <w:t xml:space="preserve">1.31</w:t>
            </w:r>
            <w:r>
              <w:t xml:space="preserve">$`\times`$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ViT-B/16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center"/>
            </w:pPr>
            <w:r>
              <w:t xml:space="preserve">86.21M</w:t>
            </w:r>
          </w:p>
        </w:tc>
        <w:tc>
          <w:p>
            <w:pPr>
              <w:pStyle w:val="Compact"/>
              <w:jc w:val="center"/>
            </w:pPr>
            <w:r>
              <w:t xml:space="preserve">0.016M</w:t>
            </w:r>
          </w:p>
        </w:tc>
        <w:tc>
          <w:p>
            <w:pPr>
              <w:pStyle w:val="Compact"/>
              <w:jc w:val="center"/>
            </w:pPr>
            <w:r>
              <w:t xml:space="preserve">12.37 ms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LaSt-ViT</w:t>
            </w:r>
          </w:p>
        </w:tc>
        <w:tc>
          <w:p>
            <w:pPr>
              <w:pStyle w:val="Compact"/>
              <w:jc w:val="center"/>
            </w:pPr>
            <w:r>
              <w:t xml:space="preserve">87.94M</w:t>
            </w:r>
          </w:p>
        </w:tc>
        <w:tc>
          <w:p>
            <w:pPr>
              <w:pStyle w:val="Compact"/>
              <w:jc w:val="center"/>
            </w:pPr>
            <w:r>
              <w:t xml:space="preserve">1.74M</w:t>
            </w:r>
          </w:p>
        </w:tc>
        <w:tc>
          <w:p>
            <w:pPr>
              <w:pStyle w:val="Compact"/>
              <w:jc w:val="center"/>
            </w:pPr>
            <w:r>
              <w:t xml:space="preserve">13.80 ms</w:t>
            </w:r>
          </w:p>
        </w:tc>
        <w:tc>
          <w:p>
            <w:pPr>
              <w:pStyle w:val="Compact"/>
              <w:jc w:val="center"/>
            </w:pPr>
            <w:r>
              <w:t xml:space="preserve">1.12</w:t>
            </w:r>
            <w:r>
              <w:t xml:space="preserve">$`\times`$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DAFB-CLS</w:t>
            </w:r>
          </w:p>
        </w:tc>
        <w:tc>
          <w:p>
            <w:pPr>
              <w:pStyle w:val="Compact"/>
              <w:jc w:val="center"/>
            </w:pPr>
            <w:r>
              <w:t xml:space="preserve">87.94M</w:t>
            </w:r>
          </w:p>
        </w:tc>
        <w:tc>
          <w:p>
            <w:pPr>
              <w:pStyle w:val="Compact"/>
              <w:jc w:val="center"/>
            </w:pPr>
            <w:r>
              <w:t xml:space="preserve">1.74M</w:t>
            </w:r>
          </w:p>
        </w:tc>
        <w:tc>
          <w:p>
            <w:pPr>
              <w:pStyle w:val="Compact"/>
              <w:jc w:val="center"/>
            </w:pPr>
            <w:r>
              <w:t xml:space="preserve">15.82 ms</w:t>
            </w:r>
          </w:p>
        </w:tc>
        <w:tc>
          <w:p>
            <w:pPr>
              <w:pStyle w:val="Compact"/>
              <w:jc w:val="center"/>
            </w:pPr>
            <w:r>
              <w:t xml:space="preserve">1.28</w:t>
            </w:r>
            <w:r>
              <w:t xml:space="preserve">$`\times`$</w:t>
            </w:r>
          </w:p>
        </w:tc>
      </w:tr>
    </w:tbl>
    <w:p>
      <w:pPr>
        <w:pStyle w:val="BodyText"/>
      </w:pPr>
      <w:r>
        <w:t xml:space="preserve">DAFB-CLS introduces only 0.59M trainable parameters for DINO (2.7% of the frozen backbone) and 1.74M for OpenCLIP (2.0%). The inference latency overhead is 1.82 ms (1.31</w:t>
      </w:r>
      <w:r>
        <w:t xml:space="preserve">$`\times`$</w:t>
      </w:r>
      <w:r>
        <w:t xml:space="preserve">) for DINO and 3.45 ms (1.28</w:t>
      </w:r>
      <w:r>
        <w:t xml:space="preserve">$`\times`$</w:t>
      </w:r>
      <w:r>
        <w:t xml:space="preserve">) for OpenCLIP. These results confirm that DAFB-CLS is lightweight and practical for deployment alongside frozen foundation models.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2026-05-26T16:21:52Z</dcterms:created>
  <dcterms:modified xsi:type="dcterms:W3CDTF">2026-05-26T16:21:52Z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