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5B12B7">
      <w:pPr>
        <w:pStyle w:val="9"/>
      </w:pPr>
      <w:r>
        <w:t xml:space="preserve">III. </w:t>
      </w:r>
      <w:r>
        <w:rPr>
          <w:rFonts w:hint="eastAsia"/>
        </w:rPr>
        <w:t>方法</w:t>
      </w:r>
    </w:p>
    <w:p w14:paraId="2E38D239">
      <w:pPr>
        <w:pStyle w:val="5"/>
      </w:pPr>
      <w:r>
        <w:t xml:space="preserve">A. </w:t>
      </w:r>
      <w:r>
        <w:rPr>
          <w:rFonts w:hint="eastAsia"/>
        </w:rPr>
        <w:t>总体框架</w:t>
      </w:r>
    </w:p>
    <w:p w14:paraId="3688E855">
      <w:pPr>
        <w:pStyle w:val="5"/>
      </w:pPr>
      <w:r>
        <w:rPr>
          <w:rFonts w:hint="eastAsia"/>
        </w:rPr>
        <w:t>我们考虑一个冻结的</w:t>
      </w:r>
      <w:r>
        <w:t xml:space="preserve"> ViT </w:t>
      </w:r>
      <w:r>
        <w:rPr>
          <w:rFonts w:hint="eastAsia"/>
        </w:rPr>
        <w:t>骨干网络</w:t>
      </w:r>
      <w:r>
        <w:t xml:space="preserve"> </w:t>
      </w:r>
      <m:oMath>
        <m:r>
          <m:rPr>
            <m:sty m:val="p"/>
          </m:rPr>
          <m:t>Φ</m:t>
        </m:r>
      </m:oMath>
      <w:r>
        <w:t xml:space="preserve"> </w:t>
      </w:r>
      <w:r>
        <w:rPr>
          <w:rFonts w:hint="eastAsia"/>
        </w:rPr>
        <w:t>,该网络将尺寸为</w:t>
      </w:r>
      <w:r>
        <w:t xml:space="preserve"> </w:t>
      </w:r>
      <m:oMath>
        <m:r>
          <m:rPr/>
          <m:t>H</m:t>
        </m:r>
        <m:r>
          <m:rPr>
            <m:sty m:val="p"/>
          </m:rPr>
          <m:t>×</m:t>
        </m:r>
        <m:r>
          <m:rPr/>
          <m:t>W</m:t>
        </m:r>
        <m:r>
          <m:rPr>
            <m:sty m:val="p"/>
          </m:rPr>
          <m:t>×</m:t>
        </m:r>
        <m:r>
          <m:rPr/>
          <m:t>3</m:t>
        </m:r>
      </m:oMath>
      <w:r>
        <w:t xml:space="preserve"> </w:t>
      </w:r>
      <w:r>
        <w:rPr>
          <w:rFonts w:hint="eastAsia"/>
        </w:rPr>
        <w:t>的输入图像划分为</w:t>
      </w:r>
      <w:r>
        <w:t xml:space="preserve"> </w:t>
      </w:r>
      <m:oMath>
        <m:r>
          <m:rPr/>
          <m:t>N</m:t>
        </m:r>
        <m:r>
          <m:rPr>
            <m:sty m:val="p"/>
          </m:rPr>
          <m:t>=</m:t>
        </m:r>
        <m:d>
          <m:dPr>
            <m:sepChr m:val=""/>
          </m:dPr>
          <m:e>
            <m:r>
              <m:rPr/>
              <m:t>H</m:t>
            </m:r>
            <m:r>
              <m:rPr>
                <m:sty m:val="p"/>
              </m:rPr>
              <m:t>/</m:t>
            </m:r>
            <m:r>
              <m:rPr/>
              <m:t>P</m:t>
            </m:r>
          </m:e>
        </m:d>
        <m:r>
          <m:rPr>
            <m:sty m:val="p"/>
          </m:rPr>
          <m:t>×</m:t>
        </m:r>
        <m:d>
          <m:dPr>
            <m:sepChr m:val=""/>
          </m:dPr>
          <m:e>
            <m:r>
              <m:rPr/>
              <m:t>W</m:t>
            </m:r>
            <m:r>
              <m:rPr>
                <m:sty m:val="p"/>
              </m:rPr>
              <m:t>/</m:t>
            </m:r>
            <m:r>
              <m:rPr/>
              <m:t>P</m:t>
            </m:r>
          </m:e>
        </m:d>
      </m:oMath>
      <w:r>
        <w:t xml:space="preserve"> </w:t>
      </w:r>
      <w:r>
        <w:rPr>
          <w:rFonts w:hint="eastAsia"/>
        </w:rPr>
        <w:t>个图像块</w:t>
      </w:r>
      <w:r>
        <w:t xml:space="preserve"> </w:t>
      </w:r>
      <w:r>
        <w:rPr>
          <w:rFonts w:hint="eastAsia"/>
        </w:rPr>
        <w:t>token,并在</w:t>
      </w:r>
      <w:r>
        <w:t xml:space="preserve"> </w:t>
      </w:r>
      <m:oMath>
        <m:r>
          <m:rPr/>
          <m:t>L</m:t>
        </m:r>
      </m:oMath>
      <w:r>
        <w:t xml:space="preserve"> </w:t>
      </w:r>
      <w:r>
        <w:rPr>
          <w:rFonts w:hint="eastAsia"/>
        </w:rPr>
        <w:t>个</w:t>
      </w:r>
      <w:r>
        <w:t xml:space="preserve"> Transformer block </w:t>
      </w:r>
      <w:r>
        <w:rPr>
          <w:rFonts w:hint="eastAsia"/>
        </w:rPr>
        <w:t>中额外引入一个</w:t>
      </w:r>
      <w:r>
        <w:t xml:space="preserve"> </w:t>
      </w:r>
      <m:oMath>
        <m:d>
          <m:dPr>
            <m:begChr m:val="["/>
            <m:sepChr m:val=""/>
            <m:endChr m:val="]"/>
          </m:dPr>
          <m:e>
            <m:r>
              <m:rPr/>
              <m:t>CLS</m:t>
            </m:r>
          </m:e>
        </m:d>
      </m:oMath>
      <w:r>
        <w:t xml:space="preserve"> </w:t>
      </w:r>
      <w:r>
        <w:rPr>
          <w:rFonts w:hint="eastAsia"/>
        </w:rPr>
        <w:t>token。我们的目标是在不修改骨干网络</w:t>
      </w:r>
      <w:r>
        <w:t xml:space="preserve"> </w:t>
      </w:r>
      <m:oMath>
        <m:r>
          <m:rPr>
            <m:sty m:val="p"/>
          </m:rPr>
          <m:t>Φ</m:t>
        </m:r>
      </m:oMath>
      <w:r>
        <w:t xml:space="preserve"> </w:t>
      </w:r>
      <w:r>
        <w:rPr>
          <w:rFonts w:hint="eastAsia"/>
        </w:rPr>
        <w:t>的前提下,训练一个轻量级的后验聚合模块,从而提升图像表征</w:t>
      </w:r>
      <w:r>
        <w:t xml:space="preserve"> </w:t>
      </w:r>
      <m:oMath>
        <m:r>
          <m:rPr/>
          <m:t>C</m:t>
        </m:r>
      </m:oMath>
      <w:r>
        <w:t xml:space="preserve"> </w:t>
      </w:r>
      <w:r>
        <w:rPr>
          <w:rFonts w:hint="eastAsia"/>
        </w:rPr>
        <w:t>的质量。</w:t>
      </w:r>
    </w:p>
    <w:p w14:paraId="2C278331">
      <w:pPr>
        <w:pStyle w:val="5"/>
      </w:pPr>
      <w:r>
        <w:rPr>
          <w:rFonts w:hint="eastAsia"/>
        </w:rPr>
        <w:t>如第二节所述,默认的</w:t>
      </w:r>
      <w:r>
        <w:t xml:space="preserve"> </w:t>
      </w:r>
      <m:oMath>
        <m:d>
          <m:dPr>
            <m:begChr m:val="["/>
            <m:sepChr m:val=""/>
            <m:endChr m:val="]"/>
          </m:dPr>
          <m:e>
            <m:r>
              <m:rPr/>
              <m:t>CLS</m:t>
            </m:r>
          </m:e>
        </m:d>
      </m:oMath>
      <w:r>
        <w:t xml:space="preserve"> </w:t>
      </w:r>
      <w:r>
        <w:rPr>
          <w:rFonts w:hint="eastAsia"/>
        </w:rPr>
        <w:t>聚合方式存在两个互补性的缺陷：从空间维度看,它会在</w:t>
      </w:r>
      <w:r>
        <w:t xml:space="preserve"> Lazy Aggregation</w:t>
      </w:r>
      <w:r>
        <w:rPr>
          <w:rFonts w:hint="eastAsia"/>
        </w:rPr>
        <w:t>现象下倾向于走捷径地聚合背景图像块；从深度维度看,标准残差连接会以近似均匀累积的方式稀释不同层的贡献。LaSt-ViT</w:t>
      </w:r>
      <w:r>
        <w:t xml:space="preserve"> </w:t>
      </w:r>
      <w:r>
        <w:rPr>
          <w:rFonts w:hint="eastAsia"/>
        </w:rPr>
        <w:t>解决了空间选择方面的问题,但其基于单一频域线索的固定</w:t>
      </w:r>
      <w:r>
        <w:t xml:space="preserve"> Top-K </w:t>
      </w:r>
      <w:r>
        <w:rPr>
          <w:rFonts w:hint="eastAsia"/>
        </w:rPr>
        <w:t>选择策略无法适应不同尺度的目标,也难以区分平滑前景与平滑背景。AttnRes</w:t>
      </w:r>
      <w:r>
        <w:t xml:space="preserve"> </w:t>
      </w:r>
      <w:r>
        <w:rPr>
          <w:rFonts w:hint="eastAsia"/>
        </w:rPr>
        <w:t>解决了深度聚合方面的问题,但它对所有</w:t>
      </w:r>
      <w:r>
        <w:t xml:space="preserve"> token </w:t>
      </w:r>
      <w:r>
        <w:rPr>
          <w:rFonts w:hint="eastAsia"/>
        </w:rPr>
        <w:t>施加统一的深度注意力,而没有区分前景流与背景流。这些不足共同启发了我们的设计：在一个统一的聚合框架中同时处理空间选择、深度聚合以及前景——背景解耦问题。</w:t>
      </w:r>
    </w:p>
    <w:p w14:paraId="4B590C62">
      <w:pPr>
        <w:pStyle w:val="5"/>
        <w:rPr>
          <w:rFonts w:hint="eastAsia"/>
        </w:rPr>
      </w:pPr>
      <w:r>
        <w:rPr>
          <w:rFonts w:hint="eastAsia"/>
        </w:rPr>
        <w:t>具体而言,DAFB-CLS</w:t>
      </w:r>
      <w:r>
        <w:t xml:space="preserve"> </w:t>
      </w:r>
      <w:r>
        <w:rPr>
          <w:rFonts w:hint="eastAsia"/>
        </w:rPr>
        <w:t>由三个部分组成。第三节</w:t>
      </w:r>
      <w:r>
        <w:t xml:space="preserve"> B </w:t>
      </w:r>
      <w:r>
        <w:rPr>
          <w:rFonts w:hint="eastAsia"/>
        </w:rPr>
        <w:t>中介绍的前景评分与掩膜模块,将多种互补线索融合为逐图像块的前景概率分数,并进一步转换为图像自适应的软掩膜。第三节</w:t>
      </w:r>
      <w:r>
        <w:t xml:space="preserve"> C </w:t>
      </w:r>
      <w:r>
        <w:rPr>
          <w:rFonts w:hint="eastAsia"/>
        </w:rPr>
        <w:t>中介绍的双</w:t>
      </w:r>
      <w:r>
        <w:t xml:space="preserve"> CLS </w:t>
      </w:r>
      <w:r>
        <w:rPr>
          <w:rFonts w:hint="eastAsia"/>
        </w:rPr>
        <w:t>与深度注意力模块,将</w:t>
      </w:r>
      <w:r>
        <w:t xml:space="preserve"> CLS token </w:t>
      </w:r>
      <w:r>
        <w:rPr>
          <w:rFonts w:hint="eastAsia"/>
        </w:rPr>
        <w:t>解耦为前景流和背景流,分别对二者施加独立的深度注意力,并通过一个可学习的任务自适应门控机制进行融合。第三节</w:t>
      </w:r>
      <w:r>
        <w:t xml:space="preserve"> D </w:t>
      </w:r>
      <w:r>
        <w:rPr>
          <w:rFonts w:hint="eastAsia"/>
        </w:rPr>
        <w:t>中介绍的训练目标,则将任务损失与三个辅助损失相结合,用于对聚合过程进行正则化。图</w:t>
      </w:r>
      <w:r>
        <w:t xml:space="preserve"> 1 </w:t>
      </w:r>
      <w:r>
        <w:rPr>
          <w:rFonts w:hint="eastAsia"/>
        </w:rPr>
        <w:t>展示了完整框架。</w:t>
      </w:r>
    </w:p>
    <w:p w14:paraId="51E604E4">
      <w:pPr>
        <w:pStyle w:val="5"/>
        <w:rPr>
          <w:rFonts w:hint="eastAsia"/>
        </w:rPr>
      </w:pPr>
      <w:r>
        <w:drawing>
          <wp:inline distT="0" distB="0" distL="114300" distR="114300">
            <wp:extent cx="5483860" cy="1614805"/>
            <wp:effectExtent l="0" t="0" r="2540" b="1079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5"/>
                    <a:stretch>
                      <a:fillRect/>
                    </a:stretch>
                  </pic:blipFill>
                  <pic:spPr>
                    <a:xfrm>
                      <a:off x="0" y="0"/>
                      <a:ext cx="5483860" cy="1614805"/>
                    </a:xfrm>
                    <a:prstGeom prst="rect">
                      <a:avLst/>
                    </a:prstGeom>
                    <a:noFill/>
                    <a:ln>
                      <a:noFill/>
                    </a:ln>
                  </pic:spPr>
                </pic:pic>
              </a:graphicData>
            </a:graphic>
          </wp:inline>
        </w:drawing>
      </w:r>
    </w:p>
    <w:p w14:paraId="4DEA9445">
      <w:pPr>
        <w:pStyle w:val="9"/>
      </w:pPr>
      <w:r>
        <w:t xml:space="preserve">B. </w:t>
      </w:r>
      <w:r>
        <w:rPr>
          <w:rFonts w:hint="eastAsia"/>
        </w:rPr>
        <w:t>前景评分与自适应掩膜</w:t>
      </w:r>
    </w:p>
    <w:p w14:paraId="0228125A">
      <w:pPr>
        <w:pStyle w:val="5"/>
        <w:rPr>
          <w:rFonts w:hint="eastAsia"/>
        </w:rPr>
      </w:pPr>
      <w:r>
        <w:rPr>
          <w:rFonts w:hint="eastAsia"/>
        </w:rPr>
        <w:t>动机</w:t>
      </w:r>
    </w:p>
    <w:p w14:paraId="7A9700B7">
      <w:pPr>
        <w:pStyle w:val="5"/>
      </w:pPr>
      <w:r>
        <w:t xml:space="preserve">LaSt-ViT </w:t>
      </w:r>
      <w:r>
        <w:rPr>
          <w:rFonts w:hint="eastAsia"/>
        </w:rPr>
        <w:t>表明,频域稳定性能够用于区分前景图像块与背景图像块,但仅依赖单一线索会使该信号较为脆弱。例如,当某个前景目标在频谱上较为平滑时,如白色天鹅,它就可能与同样平滑的背景区域,如天空,难以区分。此外,固定的</w:t>
      </w:r>
      <w:r>
        <w:t xml:space="preserve"> Top-K </w:t>
      </w:r>
      <w:r>
        <w:rPr>
          <w:rFonts w:hint="eastAsia"/>
        </w:rPr>
        <w:t>选择比例隐含地假设所有图像中的前景占比恒定,而这一假设显然不符合自然图像中目标尺度和场景复杂度高度变化的实际情况。基于第四节</w:t>
      </w:r>
      <w:r>
        <w:t xml:space="preserve"> C </w:t>
      </w:r>
      <w:r>
        <w:rPr>
          <w:rFonts w:hint="eastAsia"/>
        </w:rPr>
        <w:t>中的实证观察,我们认为有必要通过多种互补线索增强前景信号,同时用图像自适应阈值替代刚性的固定选择预算。</w:t>
      </w:r>
    </w:p>
    <w:p w14:paraId="16BCB7F4">
      <w:pPr>
        <w:pStyle w:val="5"/>
      </w:pPr>
      <w:r>
        <w:rPr>
          <w:rFonts w:hint="eastAsia"/>
        </w:rPr>
        <w:t>多线索前景性评分</w:t>
      </w:r>
    </w:p>
    <w:p w14:paraId="6EECB955">
      <w:pPr>
        <w:pStyle w:val="5"/>
      </w:pPr>
      <w:r>
        <w:rPr>
          <w:rFonts w:hint="eastAsia"/>
        </w:rPr>
        <w:t>我们设计了四种线索来刻画前景性的不同方面,每一种线索都会生成一个尺寸为</w:t>
      </w:r>
      <w:r>
        <w:t xml:space="preserve"> </w:t>
      </w:r>
      <m:oMath>
        <m:r>
          <m:rPr/>
          <m:t>B</m:t>
        </m:r>
        <m:r>
          <m:rPr>
            <m:sty m:val="p"/>
          </m:rPr>
          <m:t>×</m:t>
        </m:r>
        <m:r>
          <m:rPr/>
          <m:t>N</m:t>
        </m:r>
      </m:oMath>
      <w:r>
        <w:t xml:space="preserve"> </w:t>
      </w:r>
      <w:r>
        <w:rPr>
          <w:rFonts w:hint="eastAsia"/>
        </w:rPr>
        <w:t>的逐图像块得分矩阵。频域稳定性</w:t>
      </w:r>
      <w:r>
        <w:t xml:space="preserve"> </w:t>
      </w:r>
      <m:oMath>
        <m:sSub>
          <m:sSubPr/>
          <m:e>
            <m:r>
              <m:rPr/>
              <m:t>S</m:t>
            </m:r>
          </m:e>
          <m:sub>
            <m:r>
              <m:rPr/>
              <m:t>i</m:t>
            </m:r>
          </m:sub>
        </m:sSub>
      </m:oMath>
      <w:r>
        <w:t xml:space="preserve"> </w:t>
      </w:r>
      <w:r>
        <w:rPr>
          <w:rFonts w:hint="eastAsia"/>
        </w:rPr>
        <w:t>沿用了</w:t>
      </w:r>
      <w:r>
        <w:t xml:space="preserve"> LaSt-ViT </w:t>
      </w:r>
      <w:r>
        <w:rPr>
          <w:rFonts w:hint="eastAsia"/>
        </w:rPr>
        <w:t>的思想：我们沿通道维度对每个图像块特征计算一维</w:t>
      </w:r>
      <w:r>
        <w:t xml:space="preserve"> </w:t>
      </w:r>
      <w:r>
        <w:rPr>
          <w:rFonts w:hint="eastAsia"/>
        </w:rPr>
        <w:t>FFT,随后施加高斯低通滤波器</w:t>
      </w:r>
      <m:oMath>
        <m:r>
          <m:rPr/>
          <m:t>G</m:t>
        </m:r>
        <m:d>
          <m:dPr>
            <m:sepChr m:val=""/>
          </m:dPr>
          <m:e>
            <m:sSub>
              <m:sSubPr/>
              <m:e>
                <m:r>
                  <m:rPr/>
                  <m:t>σ</m:t>
                </m:r>
              </m:e>
              <m:sub>
                <m:r>
                  <m:rPr/>
                  <m:t>f</m:t>
                </m:r>
              </m:sub>
            </m:sSub>
          </m:e>
        </m:d>
        <m:r>
          <m:rPr>
            <m:sty m:val="p"/>
          </m:rPr>
          <m:t>=exp</m:t>
        </m:r>
        <m:d>
          <m:dPr>
            <m:sepChr m:val=""/>
          </m:dPr>
          <m:e>
            <m:r>
              <m:rPr>
                <m:sty m:val="p"/>
              </m:rPr>
              <m:t>−</m:t>
            </m:r>
            <m:f>
              <m:fPr/>
              <m:num>
                <m:sSup>
                  <m:sSupPr/>
                  <m:e>
                    <m:r>
                      <m:rPr/>
                      <m:t>f</m:t>
                    </m:r>
                  </m:e>
                  <m:sup>
                    <m:r>
                      <m:rPr/>
                      <m:t>2</m:t>
                    </m:r>
                  </m:sup>
                </m:sSup>
              </m:num>
              <m:den>
                <m:r>
                  <m:rPr/>
                  <m:t>2</m:t>
                </m:r>
                <m:sSubSup>
                  <m:sSubSupPr/>
                  <m:e>
                    <m:r>
                      <m:rPr/>
                      <m:t>σ</m:t>
                    </m:r>
                  </m:e>
                  <m:sub>
                    <m:r>
                      <m:rPr/>
                      <m:t>f</m:t>
                    </m:r>
                  </m:sub>
                  <m:sup>
                    <m:r>
                      <m:rPr/>
                      <m:t>2</m:t>
                    </m:r>
                  </m:sup>
                </m:sSubSup>
              </m:den>
            </m:f>
          </m:e>
        </m:d>
        <m:r>
          <m:rPr>
            <m:sty m:val="p"/>
          </m:rPr>
          <m:t>,</m:t>
        </m:r>
      </m:oMath>
    </w:p>
    <w:p w14:paraId="68CAAC51">
      <w:pPr>
        <w:pStyle w:val="9"/>
        <w:rPr>
          <w:rFonts w:hint="eastAsia"/>
        </w:rPr>
      </w:pPr>
      <w:r>
        <w:rPr>
          <w:rFonts w:hint="eastAsia"/>
        </w:rPr>
        <w:t>并度量滤波后信号与原始信号之间的比例。前景图像块通常具有更稳定的低频激活,因此会产生较高的</w:t>
      </w:r>
      <w:r>
        <w:t xml:space="preserve"> </w:t>
      </w:r>
      <m:oMath>
        <m:sSub>
          <m:sSubPr/>
          <m:e>
            <m:r>
              <m:rPr/>
              <m:t>S</m:t>
            </m:r>
          </m:e>
          <m:sub>
            <m:r>
              <m:rPr/>
              <m:t>i</m:t>
            </m:r>
          </m:sub>
        </m:sSub>
      </m:oMath>
      <w:r>
        <w:t xml:space="preserve"> 。</w:t>
      </w:r>
      <w:r>
        <w:rPr>
          <w:rFonts w:hint="eastAsia"/>
        </w:rPr>
        <w:t>深度一致性</w:t>
      </w:r>
      <w:r>
        <w:t xml:space="preserve"> </w:t>
      </w:r>
      <m:oMath>
        <m:sSub>
          <m:sSubPr/>
          <m:e>
            <m:r>
              <m:rPr/>
              <m:t>D</m:t>
            </m:r>
          </m:e>
          <m:sub>
            <m:r>
              <m:rPr/>
              <m:t>i</m:t>
            </m:r>
          </m:sub>
        </m:sSub>
      </m:oMath>
      <w:r>
        <w:t xml:space="preserve"> </w:t>
      </w:r>
      <w:r>
        <w:rPr>
          <w:rFonts w:hint="eastAsia"/>
        </w:rPr>
        <w:t>基于这样一种观察：属于语义目标的图像块在网络不同深度之间往往能够保持</w:t>
      </w:r>
      <w:bookmarkStart w:id="0" w:name="_GoBack"/>
      <w:bookmarkEnd w:id="0"/>
      <w:r>
        <w:rPr>
          <w:rFonts w:hint="eastAsia"/>
        </w:rPr>
        <w:t>更一致的表示,而背景图像块由于缺乏强语义锚定,其跨层表示通常更加不稳定。我们将这种一致性定义为各层特征与跨层平均特征之间余弦相似度的平均值:</w:t>
      </w:r>
    </w:p>
    <w:p w14:paraId="60ED82DA">
      <w:pPr>
        <w:pStyle w:val="5"/>
      </w:pPr>
      <w:r>
        <w:drawing>
          <wp:inline distT="0" distB="0" distL="114300" distR="114300">
            <wp:extent cx="5170170" cy="566420"/>
            <wp:effectExtent l="0" t="0" r="1143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170170" cy="566471"/>
                    </a:xfrm>
                    <a:prstGeom prst="rect">
                      <a:avLst/>
                    </a:prstGeom>
                  </pic:spPr>
                </pic:pic>
              </a:graphicData>
            </a:graphic>
          </wp:inline>
        </w:drawing>
      </w:r>
    </w:p>
    <w:p w14:paraId="08BD6DB0">
      <w:pPr>
        <w:pStyle w:val="5"/>
      </w:pPr>
      <w:r>
        <w:rPr>
          <w:rFonts w:hint="eastAsia"/>
        </w:rPr>
        <w:t>语义对齐性</w:t>
      </w:r>
      <w:r>
        <w:t xml:space="preserve"> </w:t>
      </w:r>
      <m:oMath>
        <m:sSub>
          <m:sSubPr/>
          <m:e>
            <m:r>
              <m:rPr/>
              <m:t>A</m:t>
            </m:r>
          </m:e>
          <m:sub>
            <m:r>
              <m:rPr/>
              <m:t>i</m:t>
            </m:r>
          </m:sub>
        </m:sSub>
      </m:oMath>
      <w:r>
        <w:t xml:space="preserve"> </w:t>
      </w:r>
      <w:r>
        <w:rPr>
          <w:rFonts w:hint="eastAsia"/>
        </w:rPr>
        <w:t>用于衡量每个图像块特征与全局</w:t>
      </w:r>
      <w:r>
        <w:t xml:space="preserve"> </w:t>
      </w:r>
      <m:oMath>
        <m:d>
          <m:dPr>
            <m:begChr m:val="["/>
            <m:sepChr m:val=""/>
            <m:endChr m:val="]"/>
          </m:dPr>
          <m:e>
            <m:r>
              <m:rPr/>
              <m:t>CLS</m:t>
            </m:r>
          </m:e>
        </m:d>
      </m:oMath>
      <w:r>
        <w:t xml:space="preserve"> token </w:t>
      </w:r>
      <w:r>
        <w:rPr>
          <w:rFonts w:hint="eastAsia"/>
        </w:rPr>
        <w:t>之间的对齐程度,其计算方式是在所提取的多个层上平均图像块特征与</w:t>
      </w:r>
      <w:r>
        <w:t xml:space="preserve"> </w:t>
      </w:r>
      <m:oMath>
        <m:sSub>
          <m:sSubPr/>
          <m:e>
            <m:r>
              <m:rPr/>
              <m:t>c</m:t>
            </m:r>
          </m:e>
          <m:sub>
            <m:r>
              <m:rPr/>
              <m:t>cls</m:t>
            </m:r>
          </m:sub>
        </m:sSub>
      </m:oMath>
      <w:r>
        <w:t xml:space="preserve"> </w:t>
      </w:r>
      <w:r>
        <w:rPr>
          <w:rFonts w:hint="eastAsia"/>
        </w:rPr>
        <w:t>的余弦相似度。对于文本监督的骨干网络,我们还可以选择性地采用文本引导的对齐方式,即在最后一个提取层上计算图像块特征与文本原型</w:t>
      </w:r>
      <w:r>
        <w:t xml:space="preserve"> </w:t>
      </w:r>
      <m:oMath>
        <m:sSub>
          <m:sSubPr/>
          <m:e>
            <m:r>
              <m:rPr/>
              <m:t>t</m:t>
            </m:r>
          </m:e>
          <m:sub>
            <m:r>
              <m:rPr/>
              <m:t>j</m:t>
            </m:r>
          </m:sub>
        </m:sSub>
      </m:oMath>
      <w:r>
        <w:t xml:space="preserve"> </w:t>
      </w:r>
      <w:r>
        <w:rPr>
          <w:rFonts w:hint="eastAsia"/>
        </w:rPr>
        <w:t>之间的最大余弦相似度。空间紧致性</w:t>
      </w:r>
      <w:r>
        <w:t xml:space="preserve"> </w:t>
      </w:r>
      <m:oMath>
        <m:sSub>
          <m:sSubPr/>
          <m:e>
            <m:r>
              <m:rPr/>
              <m:t>C</m:t>
            </m:r>
          </m:e>
          <m:sub>
            <m:r>
              <m:rPr/>
              <m:t>i</m:t>
            </m:r>
          </m:sub>
        </m:sSub>
      </m:oMath>
      <w:r>
        <w:rPr>
          <w:rFonts w:hint="eastAsia"/>
        </w:rPr>
        <w:t>则反映了前景目标通常占据空间连续区域这一事实。具体而言,我们在语义对齐得分图上使用</w:t>
      </w:r>
      <w:r>
        <w:t xml:space="preserve"> </w:t>
      </w:r>
      <m:oMath>
        <m:r>
          <m:rPr/>
          <m:t>3</m:t>
        </m:r>
        <m:r>
          <m:rPr>
            <m:sty m:val="p"/>
          </m:rPr>
          <m:t>×</m:t>
        </m:r>
        <m:r>
          <m:rPr/>
          <m:t>3</m:t>
        </m:r>
      </m:oMath>
      <w:r>
        <w:t xml:space="preserve"> </w:t>
      </w:r>
      <w:r>
        <w:rPr>
          <w:rFonts w:hint="eastAsia"/>
        </w:rPr>
        <w:t>核的平均池化,以无额外参数的方式强化局部邻域的一致性。</w:t>
      </w:r>
    </w:p>
    <w:p w14:paraId="780D9284">
      <w:pPr>
        <w:pStyle w:val="5"/>
      </w:pPr>
      <w:r>
        <w:rPr>
          <w:rFonts w:hint="eastAsia"/>
        </w:rPr>
        <w:t>这四种线索通过可学习的</w:t>
      </w:r>
      <w:r>
        <w:t xml:space="preserve"> softmax </w:t>
      </w:r>
      <w:r>
        <w:rPr>
          <w:rFonts w:hint="eastAsia"/>
        </w:rPr>
        <w:t>权重与一个两层</w:t>
      </w:r>
      <w:r>
        <w:t xml:space="preserve"> MLP </w:t>
      </w:r>
      <w:r>
        <w:rPr>
          <w:rFonts w:hint="eastAsia"/>
        </w:rPr>
        <w:t>共同融合,其中</w:t>
      </w:r>
      <w:r>
        <w:t xml:space="preserve"> MLP </w:t>
      </w:r>
      <w:r>
        <w:rPr>
          <w:rFonts w:hint="eastAsia"/>
        </w:rPr>
        <w:t>用于捕获不同线索之间的非线性交互关系:</w:t>
      </w:r>
    </w:p>
    <w:p w14:paraId="4271C98E">
      <w:pPr>
        <w:pStyle w:val="5"/>
      </w:pPr>
      <w:r>
        <w:drawing>
          <wp:inline distT="0" distB="0" distL="114300" distR="114300">
            <wp:extent cx="5170170" cy="716280"/>
            <wp:effectExtent l="0" t="0" r="1143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170170" cy="716331"/>
                    </a:xfrm>
                    <a:prstGeom prst="rect">
                      <a:avLst/>
                    </a:prstGeom>
                  </pic:spPr>
                </pic:pic>
              </a:graphicData>
            </a:graphic>
          </wp:inline>
        </w:drawing>
      </w:r>
    </w:p>
    <w:p w14:paraId="6198901D">
      <w:pPr>
        <w:pStyle w:val="5"/>
        <w:rPr>
          <w:rFonts w:hint="eastAsia"/>
        </w:rPr>
      </w:pPr>
      <w:r>
        <w:rPr>
          <w:rFonts w:hint="eastAsia"/>
        </w:rPr>
        <w:t>其中,</w:t>
      </w:r>
      <w:r>
        <w:t xml:space="preserve"> </w:t>
      </w:r>
      <m:oMath>
        <m:r>
          <m:rPr/>
          <m:t>w</m:t>
        </m:r>
        <m:r>
          <m:rPr>
            <m:sty m:val="p"/>
          </m:rPr>
          <m:t>=</m:t>
        </m:r>
        <m:r>
          <m:rPr/>
          <m:t>softmax</m:t>
        </m:r>
        <m:d>
          <m:dPr>
            <m:sepChr m:val=""/>
          </m:dPr>
          <m:e>
            <m:sSub>
              <m:sSubPr/>
              <m:e>
                <m:r>
                  <m:rPr/>
                  <m:t>θ</m:t>
                </m:r>
              </m:e>
              <m:sub>
                <m:r>
                  <m:rPr/>
                  <m:t>w</m:t>
                </m:r>
              </m:sub>
            </m:sSub>
          </m:e>
        </m:d>
      </m:oMath>
      <w:r>
        <w:t xml:space="preserve"> </w:t>
      </w:r>
      <w:r>
        <w:rPr>
          <w:rFonts w:hint="eastAsia"/>
        </w:rPr>
        <w:t>表示可学习的线索权重。公式中的最后一项进一步施加</w:t>
      </w:r>
      <w:r>
        <w:t xml:space="preserve"> </w:t>
      </w:r>
      <m:oMath>
        <m:r>
          <m:rPr/>
          <m:t>3</m:t>
        </m:r>
        <m:r>
          <m:rPr>
            <m:sty m:val="p"/>
          </m:rPr>
          <m:t>×</m:t>
        </m:r>
        <m:r>
          <m:rPr/>
          <m:t>3</m:t>
        </m:r>
      </m:oMath>
      <w:r>
        <w:t xml:space="preserve"> </w:t>
      </w:r>
      <w:r>
        <w:rPr>
          <w:rFonts w:hint="eastAsia"/>
        </w:rPr>
        <w:t>卷积形式的空间平滑,该卷积核被初始化为均匀的</w:t>
      </w:r>
      <w:r>
        <w:t xml:space="preserve"> </w:t>
      </w:r>
      <m:oMath>
        <m:r>
          <m:rPr/>
          <m:t>1</m:t>
        </m:r>
        <m:r>
          <m:rPr>
            <m:sty m:val="p"/>
          </m:rPr>
          <m:t>/</m:t>
        </m:r>
        <m:r>
          <m:rPr/>
          <m:t>9</m:t>
        </m:r>
      </m:oMath>
      <w:r>
        <w:t xml:space="preserve"> </w:t>
      </w:r>
      <w:r>
        <w:rPr>
          <w:rFonts w:hint="eastAsia"/>
        </w:rPr>
        <w:t>,从而保证前景性图在空间上的连贯性。</w:t>
      </w:r>
    </w:p>
    <w:p w14:paraId="4F6F6F71">
      <w:pPr>
        <w:pStyle w:val="9"/>
      </w:pPr>
      <w:r>
        <w:rPr>
          <w:rFonts w:hint="eastAsia"/>
        </w:rPr>
        <w:t>自适应掩膜</w:t>
      </w:r>
    </w:p>
    <w:p w14:paraId="7B918E12">
      <w:pPr>
        <w:pStyle w:val="5"/>
        <w:rPr>
          <w:rFonts w:hint="eastAsia"/>
        </w:rPr>
      </w:pPr>
      <w:r>
        <w:rPr>
          <w:rFonts w:hint="eastAsia"/>
        </w:rPr>
        <w:t>我们不再选择固定比例的</w:t>
      </w:r>
      <w:r>
        <w:t xml:space="preserve"> Top-K </w:t>
      </w:r>
      <w:r>
        <w:rPr>
          <w:rFonts w:hint="eastAsia"/>
        </w:rPr>
        <w:t>图像块,而是从全局特征</w:t>
      </w:r>
      <w:r>
        <w:t xml:space="preserve"> </w:t>
      </w:r>
      <m:oMath>
        <m:sSub>
          <m:sSubPr/>
          <m:e>
            <m:r>
              <m:rPr/>
              <m:t>c</m:t>
            </m:r>
          </m:e>
          <m:sub>
            <m:r>
              <m:rPr/>
              <m:t>cls</m:t>
            </m:r>
          </m:sub>
        </m:sSub>
      </m:oMath>
      <w:r>
        <w:t xml:space="preserve"> </w:t>
      </w:r>
      <w:r>
        <w:rPr>
          <w:rFonts w:hint="eastAsia"/>
        </w:rPr>
        <w:t>中预测一个图像特定的阈值</w:t>
      </w:r>
      <w:r>
        <w:t xml:space="preserve"> </w:t>
      </w:r>
      <m:oMath>
        <m:r>
          <m:rPr/>
          <m:t>τ</m:t>
        </m:r>
      </m:oMath>
      <w:r>
        <w:t xml:space="preserve"> </w:t>
      </w:r>
      <w:r>
        <w:rPr>
          <w:rFonts w:hint="eastAsia"/>
        </w:rPr>
        <w:t>,并通过带温度控制的</w:t>
      </w:r>
      <w:r>
        <w:t xml:space="preserve"> sigmoid </w:t>
      </w:r>
      <w:r>
        <w:rPr>
          <w:rFonts w:hint="eastAsia"/>
        </w:rPr>
        <w:t>函数生成软掩膜:</w:t>
      </w:r>
    </w:p>
    <w:p w14:paraId="19C92E0C">
      <w:pPr>
        <w:pStyle w:val="5"/>
        <w:rPr>
          <w:rFonts w:hint="eastAsia"/>
        </w:rPr>
      </w:pPr>
      <w:r>
        <w:drawing>
          <wp:inline distT="0" distB="0" distL="114300" distR="114300">
            <wp:extent cx="5170170" cy="392430"/>
            <wp:effectExtent l="0" t="0" r="1143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170170" cy="392633"/>
                    </a:xfrm>
                    <a:prstGeom prst="rect">
                      <a:avLst/>
                    </a:prstGeom>
                  </pic:spPr>
                </pic:pic>
              </a:graphicData>
            </a:graphic>
          </wp:inline>
        </w:drawing>
      </w:r>
    </w:p>
    <w:p w14:paraId="79ED4386">
      <w:pPr>
        <w:pStyle w:val="5"/>
      </w:pPr>
      <w:r>
        <w:rPr>
          <w:rFonts w:hint="eastAsia"/>
        </w:rPr>
        <w:t>其中,</w:t>
      </w:r>
      <w:r>
        <w:t xml:space="preserve"> </w:t>
      </w:r>
      <m:oMath>
        <m:r>
          <m:rPr/>
          <m:t>T</m:t>
        </m:r>
      </m:oMath>
      <w:r>
        <w:t xml:space="preserve"> </w:t>
      </w:r>
      <w:r>
        <w:rPr>
          <w:rFonts w:hint="eastAsia"/>
        </w:rPr>
        <w:t>是一个可学习的温度参数,以对数空间中</w:t>
      </w:r>
      <w:r>
        <w:t xml:space="preserve"> 0.1 </w:t>
      </w:r>
      <w:r>
        <w:rPr>
          <w:rFonts w:hint="eastAsia"/>
        </w:rPr>
        <w:t>的初始值进行初始化,并被限制在</w:t>
      </w:r>
      <w:r>
        <w:t xml:space="preserve"> </w:t>
      </w:r>
      <m:oMath>
        <m:d>
          <m:dPr>
            <m:begChr m:val="["/>
            <m:sepChr m:val=""/>
            <m:endChr m:val="]"/>
          </m:dPr>
          <m:e>
            <m:r>
              <m:rPr/>
              <m:t>0.01</m:t>
            </m:r>
            <m:r>
              <m:rPr>
                <m:sty m:val="p"/>
              </m:rPr>
              <m:t>,</m:t>
            </m:r>
            <m:r>
              <m:rPr/>
              <m:t>1.0</m:t>
            </m:r>
          </m:e>
        </m:d>
      </m:oMath>
      <w:r>
        <w:t xml:space="preserve"> </w:t>
      </w:r>
      <w:r>
        <w:rPr>
          <w:rFonts w:hint="eastAsia"/>
        </w:rPr>
        <w:t>范围内。这样的软掩膜能够自然适应不同图像中前景比例的变化,同时避免硬阈值选择所带来的梯度不连续问题。第三节</w:t>
      </w:r>
      <w:r>
        <w:t xml:space="preserve"> </w:t>
      </w:r>
      <m:oMath>
        <m:r>
          <m:rPr/>
          <m:t>D</m:t>
        </m:r>
      </m:oMath>
      <w:r>
        <w:t xml:space="preserve"> </w:t>
      </w:r>
      <w:r>
        <w:rPr>
          <w:rFonts w:hint="eastAsia"/>
        </w:rPr>
        <w:t>中介绍的预算正则化损失进一步防止模型退化为全前景或全背景的极端解。</w:t>
      </w:r>
    </w:p>
    <w:p w14:paraId="083775DB">
      <w:pPr>
        <w:pStyle w:val="5"/>
      </w:pPr>
      <w:r>
        <w:t xml:space="preserve">C. </w:t>
      </w:r>
      <w:r>
        <w:rPr>
          <w:rFonts w:hint="eastAsia"/>
        </w:rPr>
        <w:t>基于深度注意力的双</w:t>
      </w:r>
      <w:r>
        <w:t xml:space="preserve"> CLS </w:t>
      </w:r>
      <w:r>
        <w:rPr>
          <w:rFonts w:hint="eastAsia"/>
        </w:rPr>
        <w:t>解耦</w:t>
      </w:r>
    </w:p>
    <w:p w14:paraId="28BB3934">
      <w:pPr>
        <w:pStyle w:val="5"/>
      </w:pPr>
      <w:r>
        <w:rPr>
          <w:rFonts w:hint="eastAsia"/>
        </w:rPr>
        <w:t>动机</w:t>
      </w:r>
    </w:p>
    <w:p w14:paraId="7CBA9005">
      <w:pPr>
        <w:pStyle w:val="5"/>
      </w:pPr>
      <w:r>
        <w:rPr>
          <w:rFonts w:hint="eastAsia"/>
        </w:rPr>
        <w:t>一个自然的问题是,为什么我们需要保留一个独立的背景流,而不是简单地抑制背景信息。原因在于,背景信息本身具有互补价值：场景类别、空间布局以及目标共现统计都能够辅助分类,甚至对定位任务也可能提供帮助。然而,在默认的聚合机制下,这些背景上下文会通过</w:t>
      </w:r>
      <w:r>
        <w:t xml:space="preserve"> Lazy Aggregation </w:t>
      </w:r>
      <w:r>
        <w:rPr>
          <w:rFonts w:hint="eastAsia"/>
        </w:rPr>
        <w:t>现象污染</w:t>
      </w:r>
      <w:r>
        <w:t xml:space="preserve"> </w:t>
      </w:r>
      <m:oMath>
        <m:d>
          <m:dPr>
            <m:begChr m:val="["/>
            <m:sepChr m:val=""/>
            <m:endChr m:val="]"/>
          </m:dPr>
          <m:e>
            <m:r>
              <m:rPr/>
              <m:t>CLS</m:t>
            </m:r>
          </m:e>
        </m:d>
      </m:oMath>
      <w:r>
        <w:t xml:space="preserve"> </w:t>
      </w:r>
      <w:r>
        <w:rPr>
          <w:rFonts w:hint="eastAsia"/>
        </w:rPr>
        <w:t>token,从而削弱前景定位能力。因此,合理的做法并不是丢弃背景,而是对其进行解耦：通过维护两个独立的语义流,使前景和背景分别形成与任务相关的表示,最后再根据任务需求进行自适应融合。</w:t>
      </w:r>
    </w:p>
    <w:p w14:paraId="7F373EFC">
      <w:pPr>
        <w:pStyle w:val="5"/>
      </w:pPr>
      <w:r>
        <w:rPr>
          <w:rFonts w:hint="eastAsia"/>
        </w:rPr>
        <w:t>此外,如第二节所讨论的,深度维度上也存在一个互补性问题。标准残差连接会近似均匀地累积所有层的信息,但不同深度的网络层编码的是本质上不同的视觉信息：浅层更多捕获纹理和边缘,而深层则更多编码目标语义。AttnRes</w:t>
      </w:r>
      <w:r>
        <w:t xml:space="preserve"> </w:t>
      </w:r>
      <w:r>
        <w:rPr>
          <w:rFonts w:hint="eastAsia"/>
        </w:rPr>
        <w:t>证明了内容相关的深度选择能够改善聚合效果,但它对所有</w:t>
      </w:r>
      <w:r>
        <w:t xml:space="preserve"> token </w:t>
      </w:r>
      <w:r>
        <w:rPr>
          <w:rFonts w:hint="eastAsia"/>
        </w:rPr>
        <w:t>使用同一个机制。在我们的解耦设置中,前景流和背景流需要不同的深度聚合模式：前景目标通常更受益于强调后期语义层,而背景上下文则可能更依赖早期空间层。因此,我们为两个语义流分别设计了独立的深度注意力机制。</w:t>
      </w:r>
    </w:p>
    <w:p w14:paraId="4CE0C47F">
      <w:pPr>
        <w:pStyle w:val="9"/>
      </w:pPr>
      <w:r>
        <w:rPr>
          <w:rFonts w:hint="eastAsia"/>
        </w:rPr>
        <w:t>双</w:t>
      </w:r>
      <w:r>
        <w:t xml:space="preserve"> CLS </w:t>
      </w:r>
      <w:r>
        <w:rPr>
          <w:rFonts w:hint="eastAsia"/>
        </w:rPr>
        <w:t>聚合</w:t>
      </w:r>
    </w:p>
    <w:p w14:paraId="7506238D">
      <w:pPr>
        <w:pStyle w:val="5"/>
      </w:pPr>
      <w:r>
        <w:rPr>
          <w:rFonts w:hint="eastAsia"/>
        </w:rPr>
        <w:t>给定前景掩膜后,我们在每个提取层上通过加权平均计算前景</w:t>
      </w:r>
      <w:r>
        <w:t xml:space="preserve"> CLS token:</w:t>
      </w:r>
    </w:p>
    <w:p w14:paraId="244139F6">
      <w:pPr>
        <w:pStyle w:val="5"/>
      </w:pPr>
      <w:r>
        <w:drawing>
          <wp:inline distT="0" distB="0" distL="114300" distR="114300">
            <wp:extent cx="5170170" cy="458470"/>
            <wp:effectExtent l="0" t="0" r="1206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170170" cy="458572"/>
                    </a:xfrm>
                    <a:prstGeom prst="rect">
                      <a:avLst/>
                    </a:prstGeom>
                  </pic:spPr>
                </pic:pic>
              </a:graphicData>
            </a:graphic>
          </wp:inline>
        </w:drawing>
      </w:r>
    </w:p>
    <w:p w14:paraId="33DE39F6">
      <w:pPr>
        <w:pStyle w:val="5"/>
      </w:pPr>
      <w:r>
        <w:rPr>
          <w:rFonts w:hint="eastAsia"/>
        </w:rPr>
        <w:t>对于背景流,我们并不直接将其定义为前景流的互补项,因为这样会使背景流在机制上完全依赖前景流。相反,我们引入一个专门的</w:t>
      </w:r>
      <w:r>
        <w:t xml:space="preserve"> BackgroundnessHead </w:t>
      </w:r>
      <w:r>
        <w:rPr>
          <w:rFonts w:hint="eastAsia"/>
        </w:rPr>
        <w:t>来独立预测背景得分,并通过不确定性估计器进行调制：</w:t>
      </w:r>
    </w:p>
    <w:p w14:paraId="3915D7B4">
      <w:pPr>
        <w:pStyle w:val="5"/>
      </w:pPr>
      <w:r>
        <w:drawing>
          <wp:inline distT="0" distB="0" distL="114300" distR="114300">
            <wp:extent cx="5170170" cy="293370"/>
            <wp:effectExtent l="0" t="0" r="1143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170170" cy="293725"/>
                    </a:xfrm>
                    <a:prstGeom prst="rect">
                      <a:avLst/>
                    </a:prstGeom>
                  </pic:spPr>
                </pic:pic>
              </a:graphicData>
            </a:graphic>
          </wp:inline>
        </w:drawing>
      </w:r>
    </w:p>
    <w:p w14:paraId="6AD6B61E">
      <w:pPr>
        <w:pStyle w:val="5"/>
      </w:pPr>
      <w:r>
        <w:rPr>
          <w:rFonts w:hint="eastAsia"/>
        </w:rPr>
        <w:t>其中,前景互补项用于排除高置信度的前景图像块,而不确定性项则避免将边界区域或模糊区域过于自信地分配给背景。背景</w:t>
      </w:r>
      <w:r>
        <w:t xml:space="preserve"> CLS token </w:t>
      </w:r>
      <w:r>
        <w:rPr>
          <w:rFonts w:hint="eastAsia"/>
        </w:rPr>
        <w:t>的计算方式与式</w:t>
      </w:r>
      <w:r>
        <w:t xml:space="preserve"> (4) </w:t>
      </w:r>
      <w:r>
        <w:rPr>
          <w:rFonts w:hint="eastAsia"/>
        </w:rPr>
        <w:t>类似。</w:t>
      </w:r>
    </w:p>
    <w:p w14:paraId="5519C9FD">
      <w:pPr>
        <w:pStyle w:val="5"/>
      </w:pPr>
      <w:r>
        <w:rPr>
          <w:rFonts w:hint="eastAsia"/>
        </w:rPr>
        <w:t>独立深度注意力</w:t>
      </w:r>
    </w:p>
    <w:p w14:paraId="1453214D">
      <w:pPr>
        <w:pStyle w:val="5"/>
      </w:pPr>
      <w:r>
        <w:rPr>
          <w:rFonts w:hint="eastAsia"/>
        </w:rPr>
        <w:t>每个语义流都会在其</w:t>
      </w:r>
      <w:r>
        <w:t xml:space="preserve"> </w:t>
      </w:r>
      <m:oMath>
        <m:r>
          <m:rPr/>
          <m:t>K</m:t>
        </m:r>
      </m:oMath>
      <w:r>
        <w:t xml:space="preserve"> </w:t>
      </w:r>
      <w:r>
        <w:rPr>
          <w:rFonts w:hint="eastAsia"/>
        </w:rPr>
        <w:t>层</w:t>
      </w:r>
      <w:r>
        <w:t xml:space="preserve"> CLS </w:t>
      </w:r>
      <w:r>
        <w:rPr>
          <w:rFonts w:hint="eastAsia"/>
        </w:rPr>
        <w:t>序列上执行</w:t>
      </w:r>
      <w:r>
        <w:t xml:space="preserve"> softmax </w:t>
      </w:r>
      <w:r>
        <w:rPr>
          <w:rFonts w:hint="eastAsia"/>
        </w:rPr>
        <w:t>注意力,并使用一个可学习的伪查询向量,从而将</w:t>
      </w:r>
      <w:r>
        <w:t xml:space="preserve">AttnRes </w:t>
      </w:r>
      <w:r>
        <w:rPr>
          <w:rFonts w:hint="eastAsia"/>
        </w:rPr>
        <w:t>的思想扩展到视觉聚合场景中：</w:t>
      </w:r>
    </w:p>
    <w:p w14:paraId="33702F40">
      <w:pPr>
        <w:pStyle w:val="5"/>
      </w:pPr>
      <w:r>
        <w:drawing>
          <wp:inline distT="0" distB="0" distL="114300" distR="114300">
            <wp:extent cx="5170170" cy="500380"/>
            <wp:effectExtent l="0" t="0" r="1143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170170" cy="500532"/>
                    </a:xfrm>
                    <a:prstGeom prst="rect">
                      <a:avLst/>
                    </a:prstGeom>
                  </pic:spPr>
                </pic:pic>
              </a:graphicData>
            </a:graphic>
          </wp:inline>
        </w:drawing>
      </w:r>
    </w:p>
    <w:p w14:paraId="62568866">
      <w:pPr>
        <w:pStyle w:val="5"/>
      </w:pPr>
      <w:r>
        <w:rPr>
          <w:rFonts w:hint="eastAsia"/>
        </w:rPr>
        <w:t>其中,前景伪查询向量被初始化为零,使初始注意力权重为均匀的</w:t>
      </w:r>
      <w:r>
        <w:t xml:space="preserve"> </w:t>
      </w:r>
      <m:oMath>
        <m:r>
          <m:rPr/>
          <m:t>1</m:t>
        </m:r>
        <m:r>
          <m:rPr>
            <m:sty m:val="p"/>
          </m:rPr>
          <m:t>/</m:t>
        </m:r>
        <m:r>
          <m:rPr/>
          <m:t>K</m:t>
        </m:r>
      </m:oMath>
      <w:r>
        <w:t xml:space="preserve"> </w:t>
      </w:r>
      <w:r>
        <w:rPr>
          <w:rFonts w:hint="eastAsia"/>
        </w:rPr>
        <w:t>,从而与标准平均池化保持一致。背景流则使用其自身独立的伪查询向量,生成背景表征以及背景深度权重。我们在键向量上施加</w:t>
      </w:r>
      <w:r>
        <w:t xml:space="preserve"> RMSNorm,</w:t>
      </w:r>
      <w:r>
        <w:rPr>
          <w:rFonts w:hint="eastAsia"/>
        </w:rPr>
        <w:t>以防止某些层仅因激活幅值较大而主导注意力分配。第四节</w:t>
      </w:r>
      <w:r>
        <w:t xml:space="preserve"> C </w:t>
      </w:r>
      <w:r>
        <w:rPr>
          <w:rFonts w:hint="eastAsia"/>
        </w:rPr>
        <w:t>的实验验证表明,相比于前景流和背景流共享同一个深度注意力机制,使用独立深度注意力能够将</w:t>
      </w:r>
      <w:r>
        <w:t xml:space="preserve"> PiB </w:t>
      </w:r>
      <w:r>
        <w:rPr>
          <w:rFonts w:hint="eastAsia"/>
        </w:rPr>
        <w:t>从</w:t>
      </w:r>
      <w:r>
        <w:t xml:space="preserve"> 28% </w:t>
      </w:r>
      <w:r>
        <w:rPr>
          <w:rFonts w:hint="eastAsia"/>
        </w:rPr>
        <w:t>提升到</w:t>
      </w:r>
      <w:r>
        <w:t xml:space="preserve"> </w:t>
      </w:r>
      <w:r>
        <w:rPr>
          <w:rFonts w:hint="eastAsia"/>
        </w:rPr>
        <w:t>45%,这说明两个语义流确实需要不同的深度聚合模式。</w:t>
      </w:r>
    </w:p>
    <w:p w14:paraId="34B16B87">
      <w:pPr>
        <w:pStyle w:val="5"/>
      </w:pPr>
      <w:r>
        <w:rPr>
          <w:rFonts w:hint="eastAsia"/>
        </w:rPr>
        <w:t>任务自适应融合</w:t>
      </w:r>
    </w:p>
    <w:p w14:paraId="609AE894">
      <w:pPr>
        <w:pStyle w:val="5"/>
      </w:pPr>
      <w:r>
        <w:rPr>
          <w:rFonts w:hint="eastAsia"/>
        </w:rPr>
        <w:t>最终表征通过一个可学习的门控机制生成：</w:t>
      </w:r>
    </w:p>
    <w:p w14:paraId="00F4CE27">
      <w:pPr>
        <w:pStyle w:val="5"/>
      </w:pPr>
      <w:r>
        <w:drawing>
          <wp:inline distT="0" distB="0" distL="114300" distR="114300">
            <wp:extent cx="5170170" cy="239395"/>
            <wp:effectExtent l="0" t="0" r="1143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170170" cy="239776"/>
                    </a:xfrm>
                    <a:prstGeom prst="rect">
                      <a:avLst/>
                    </a:prstGeom>
                  </pic:spPr>
                </pic:pic>
              </a:graphicData>
            </a:graphic>
          </wp:inline>
        </w:drawing>
      </w:r>
    </w:p>
    <w:p w14:paraId="5740023B">
      <w:pPr>
        <w:pStyle w:val="5"/>
      </w:pPr>
      <w:r>
        <w:rPr>
          <w:rFonts w:hint="eastAsia"/>
        </w:rPr>
        <w:t>该门控机制同时接收三个表征作为输入,从而能够根据具体任务进行自适应加权。对于目标发现任务,由于前景信息占主导地位,模型可能学习到</w:t>
      </w:r>
      <w:r>
        <w:t xml:space="preserve"> </w:t>
      </w:r>
      <m:oMath>
        <m:r>
          <m:rPr/>
          <m:t>g</m:t>
        </m:r>
        <m:r>
          <m:rPr>
            <m:sty m:val="p"/>
          </m:rPr>
          <m:t>→</m:t>
        </m:r>
        <m:r>
          <m:rPr/>
          <m:t>1</m:t>
        </m:r>
      </m:oMath>
      <w:r>
        <w:t xml:space="preserve"> </w:t>
      </w:r>
      <w:r>
        <w:rPr>
          <w:rFonts w:hint="eastAsia"/>
        </w:rPr>
        <w:t>；而对于分类任务,由于场景上下文也有助于识别,模型则可能学习到一个更加均衡的融合权重。</w:t>
      </w:r>
    </w:p>
    <w:p w14:paraId="6B3628C6">
      <w:pPr>
        <w:pStyle w:val="5"/>
      </w:pPr>
    </w:p>
    <w:p w14:paraId="0BA02A8A">
      <w:pPr>
        <w:pStyle w:val="5"/>
        <w:rPr>
          <w:rFonts w:hint="eastAsia"/>
        </w:rPr>
      </w:pPr>
    </w:p>
    <w:p w14:paraId="748A23A6">
      <w:pPr>
        <w:pStyle w:val="5"/>
        <w:rPr>
          <w:rFonts w:hint="eastAsia"/>
        </w:rPr>
      </w:pPr>
    </w:p>
    <w:p w14:paraId="15A0E29B"/>
    <w:sectPr>
      <w:pgSz w:w="12240" w:h="15840"/>
      <w:pgMar w:top="1440" w:right="1800" w:bottom="1440" w:left="1800" w:header="720" w:footer="720" w:gutter="0"/>
      <w:cols w:space="720" w:num="1"/>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D0A4F"/>
    <w:rsid w:val="00347BDB"/>
    <w:rsid w:val="01A9632F"/>
    <w:rsid w:val="01E360A7"/>
    <w:rsid w:val="037B0103"/>
    <w:rsid w:val="039805C7"/>
    <w:rsid w:val="0399532B"/>
    <w:rsid w:val="03CF6F0E"/>
    <w:rsid w:val="04F62E30"/>
    <w:rsid w:val="04FB3AA9"/>
    <w:rsid w:val="05FF5014"/>
    <w:rsid w:val="07DA314D"/>
    <w:rsid w:val="082658A4"/>
    <w:rsid w:val="08BD5FF9"/>
    <w:rsid w:val="090E6AB6"/>
    <w:rsid w:val="0A701077"/>
    <w:rsid w:val="0AF33435"/>
    <w:rsid w:val="0B0F51ED"/>
    <w:rsid w:val="0BB43D45"/>
    <w:rsid w:val="0BF222C8"/>
    <w:rsid w:val="0C3558BA"/>
    <w:rsid w:val="0D2E2BDA"/>
    <w:rsid w:val="0D512831"/>
    <w:rsid w:val="104A0BB3"/>
    <w:rsid w:val="111921EA"/>
    <w:rsid w:val="126E58D4"/>
    <w:rsid w:val="12AD0AE8"/>
    <w:rsid w:val="12FA1E07"/>
    <w:rsid w:val="13452E52"/>
    <w:rsid w:val="13830538"/>
    <w:rsid w:val="14323357"/>
    <w:rsid w:val="147E7CDA"/>
    <w:rsid w:val="15D469FE"/>
    <w:rsid w:val="172F13BB"/>
    <w:rsid w:val="1791163B"/>
    <w:rsid w:val="18207F2E"/>
    <w:rsid w:val="19064C6C"/>
    <w:rsid w:val="1936636E"/>
    <w:rsid w:val="1A424B3D"/>
    <w:rsid w:val="1A57517C"/>
    <w:rsid w:val="1ADF7664"/>
    <w:rsid w:val="1B2F5B48"/>
    <w:rsid w:val="1BE37C5A"/>
    <w:rsid w:val="1CF92E79"/>
    <w:rsid w:val="1D0A3756"/>
    <w:rsid w:val="1D5C2CE1"/>
    <w:rsid w:val="1DB51403"/>
    <w:rsid w:val="1E004E74"/>
    <w:rsid w:val="1E877B1F"/>
    <w:rsid w:val="1ED03DDD"/>
    <w:rsid w:val="1ED42E87"/>
    <w:rsid w:val="1F307F51"/>
    <w:rsid w:val="21D84004"/>
    <w:rsid w:val="223613C5"/>
    <w:rsid w:val="22FB2B87"/>
    <w:rsid w:val="244B45EE"/>
    <w:rsid w:val="245D1DDC"/>
    <w:rsid w:val="24A12D90"/>
    <w:rsid w:val="24CE74A8"/>
    <w:rsid w:val="24DA5582"/>
    <w:rsid w:val="252B06D3"/>
    <w:rsid w:val="261D40B5"/>
    <w:rsid w:val="268A0205"/>
    <w:rsid w:val="26D43AAB"/>
    <w:rsid w:val="26E8154E"/>
    <w:rsid w:val="27992472"/>
    <w:rsid w:val="2A0A6763"/>
    <w:rsid w:val="2A7D6645"/>
    <w:rsid w:val="2B5818C2"/>
    <w:rsid w:val="2BAC7BFB"/>
    <w:rsid w:val="2BC33526"/>
    <w:rsid w:val="2C7262AD"/>
    <w:rsid w:val="2CD51841"/>
    <w:rsid w:val="2D336E93"/>
    <w:rsid w:val="2DCB7EF8"/>
    <w:rsid w:val="2DE03FF9"/>
    <w:rsid w:val="2E967AF4"/>
    <w:rsid w:val="30055365"/>
    <w:rsid w:val="30422009"/>
    <w:rsid w:val="31AA17B2"/>
    <w:rsid w:val="31EC619B"/>
    <w:rsid w:val="33046BC9"/>
    <w:rsid w:val="333935A7"/>
    <w:rsid w:val="33936B82"/>
    <w:rsid w:val="34BC4528"/>
    <w:rsid w:val="34FD01C1"/>
    <w:rsid w:val="35900A44"/>
    <w:rsid w:val="35997A02"/>
    <w:rsid w:val="387A57F6"/>
    <w:rsid w:val="3965126B"/>
    <w:rsid w:val="39B71976"/>
    <w:rsid w:val="3A2E16F1"/>
    <w:rsid w:val="3B5C4405"/>
    <w:rsid w:val="3B837E6F"/>
    <w:rsid w:val="3CF4186F"/>
    <w:rsid w:val="3E752133"/>
    <w:rsid w:val="40115F08"/>
    <w:rsid w:val="40247A02"/>
    <w:rsid w:val="42F51D2B"/>
    <w:rsid w:val="43881AF8"/>
    <w:rsid w:val="438D3438"/>
    <w:rsid w:val="443E2D08"/>
    <w:rsid w:val="447B169D"/>
    <w:rsid w:val="45A12EC7"/>
    <w:rsid w:val="45A24A3D"/>
    <w:rsid w:val="460D04BA"/>
    <w:rsid w:val="463D5176"/>
    <w:rsid w:val="46A119AA"/>
    <w:rsid w:val="4728639F"/>
    <w:rsid w:val="47AF7EBF"/>
    <w:rsid w:val="48540541"/>
    <w:rsid w:val="48911033"/>
    <w:rsid w:val="489E328D"/>
    <w:rsid w:val="48F45FD0"/>
    <w:rsid w:val="494B080E"/>
    <w:rsid w:val="4B3B68BB"/>
    <w:rsid w:val="4BB77E9A"/>
    <w:rsid w:val="4CB031DA"/>
    <w:rsid w:val="4D1C705C"/>
    <w:rsid w:val="4DDF081B"/>
    <w:rsid w:val="4DF35EB9"/>
    <w:rsid w:val="4E2469EB"/>
    <w:rsid w:val="4E6F05B2"/>
    <w:rsid w:val="4EC66D8E"/>
    <w:rsid w:val="4EEA1AD9"/>
    <w:rsid w:val="4F02503B"/>
    <w:rsid w:val="4F5A0499"/>
    <w:rsid w:val="4F6028CE"/>
    <w:rsid w:val="50325D21"/>
    <w:rsid w:val="50674613"/>
    <w:rsid w:val="50771B5E"/>
    <w:rsid w:val="519108A5"/>
    <w:rsid w:val="51E36E64"/>
    <w:rsid w:val="52E65221"/>
    <w:rsid w:val="56205F83"/>
    <w:rsid w:val="564F21FC"/>
    <w:rsid w:val="576E4918"/>
    <w:rsid w:val="58371758"/>
    <w:rsid w:val="583813E5"/>
    <w:rsid w:val="5A811A11"/>
    <w:rsid w:val="5A867E39"/>
    <w:rsid w:val="5A9F2599"/>
    <w:rsid w:val="5B3C1155"/>
    <w:rsid w:val="5B5C7058"/>
    <w:rsid w:val="5CAB4ECB"/>
    <w:rsid w:val="5F1F24D7"/>
    <w:rsid w:val="60EE0200"/>
    <w:rsid w:val="61030EA5"/>
    <w:rsid w:val="61D57FB3"/>
    <w:rsid w:val="62F87FB3"/>
    <w:rsid w:val="643369DC"/>
    <w:rsid w:val="644135C0"/>
    <w:rsid w:val="649E6CE4"/>
    <w:rsid w:val="652E29A5"/>
    <w:rsid w:val="65DE03FB"/>
    <w:rsid w:val="66E04A8F"/>
    <w:rsid w:val="67222094"/>
    <w:rsid w:val="69186271"/>
    <w:rsid w:val="69356566"/>
    <w:rsid w:val="698D7BC0"/>
    <w:rsid w:val="69A10FFB"/>
    <w:rsid w:val="6A384ADA"/>
    <w:rsid w:val="6B2B4E03"/>
    <w:rsid w:val="6C076004"/>
    <w:rsid w:val="6C8F1D13"/>
    <w:rsid w:val="6D435152"/>
    <w:rsid w:val="6DC2475E"/>
    <w:rsid w:val="6DDF641F"/>
    <w:rsid w:val="6DF77042"/>
    <w:rsid w:val="6E5E4F55"/>
    <w:rsid w:val="6EBF7F00"/>
    <w:rsid w:val="6ECE1AB1"/>
    <w:rsid w:val="6ED524EF"/>
    <w:rsid w:val="6F181752"/>
    <w:rsid w:val="6F633050"/>
    <w:rsid w:val="70124526"/>
    <w:rsid w:val="70784C72"/>
    <w:rsid w:val="70A07186"/>
    <w:rsid w:val="71915DBC"/>
    <w:rsid w:val="71FE4A3D"/>
    <w:rsid w:val="728446F2"/>
    <w:rsid w:val="729C3F60"/>
    <w:rsid w:val="7426410F"/>
    <w:rsid w:val="74FD2F8F"/>
    <w:rsid w:val="753A4AE1"/>
    <w:rsid w:val="755469EE"/>
    <w:rsid w:val="76610CFB"/>
    <w:rsid w:val="76CE675E"/>
    <w:rsid w:val="7733338B"/>
    <w:rsid w:val="781A5E54"/>
    <w:rsid w:val="7C34419D"/>
    <w:rsid w:val="7C80044E"/>
    <w:rsid w:val="7D365336"/>
    <w:rsid w:val="7D6663F4"/>
    <w:rsid w:val="7DF11D8A"/>
    <w:rsid w:val="7EC9742A"/>
    <w:rsid w:val="7EE63C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0"/>
    <w:pPr>
      <w:spacing w:before="180" w:after="180"/>
    </w:p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9">
    <w:name w:val="First Paragraph"/>
    <w:basedOn w:val="5"/>
    <w:next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microsoft.com/office/2006/relationships/keyMapCustomizations" Target="customizations.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9</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2025-08-31T15:50:00Z</dcterms:created>
  <dc:creator>32488</dc:creator>
  <cp:lastModifiedBy>张峻祎</cp:lastModifiedBy>
  <dcterms:modified xsi:type="dcterms:W3CDTF">2026-05-26T15:11:42Z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2666CFFD577044B080259E0171162EF2_12</vt:lpwstr>
  </property>
  <property fmtid="{D5CDD505-2E9C-101B-9397-08002B2CF9AE}" pid="4" name="KSOTemplateDocerSaveRecord">
    <vt:lpwstr>eyJoZGlkIjoiNmE5ZTgzYTRmMmFkOTRkZTEyOTIzNjQ3N2E0NThiN2IiLCJ1c2VySWQiOiIxNjIyMjU0MTA1In0=</vt:lpwstr>
  </property>
</Properties>
</file>