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A6045">
      <w:pPr>
        <w:spacing w:before="80" w:after="240"/>
        <w:jc w:val="center"/>
      </w:pPr>
      <w:r>
        <w:rPr>
          <w:rFonts w:ascii="Times New Roman" w:hAnsi="Times New Roman" w:eastAsia="Times New Roman"/>
          <w:b/>
          <w:i w:val="0"/>
          <w:color w:val="000000"/>
          <w:sz w:val="32"/>
        </w:rPr>
        <w:t>III. METHOD</w:t>
      </w:r>
    </w:p>
    <w:p w14:paraId="24D6784D">
      <w:pPr>
        <w:spacing w:before="160" w:after="100"/>
        <w:jc w:val="left"/>
      </w:pPr>
      <w:r>
        <w:rPr>
          <w:rFonts w:ascii="Times New Roman" w:hAnsi="Times New Roman" w:eastAsia="Times New Roman"/>
          <w:b/>
          <w:i w:val="0"/>
          <w:color w:val="000000"/>
          <w:sz w:val="24"/>
        </w:rPr>
        <w:t>A. Overview</w:t>
      </w:r>
    </w:p>
    <w:p w14:paraId="71FB1F6F">
      <w:pPr>
        <w:spacing w:after="120" w:line="276" w:lineRule="auto"/>
        <w:jc w:val="left"/>
      </w:pPr>
      <w:r>
        <w:rPr>
          <w:rFonts w:ascii="Times New Roman" w:hAnsi="Times New Roman" w:eastAsia="Times New Roman"/>
          <w:b w:val="0"/>
          <w:i w:val="0"/>
          <w:color w:val="000000"/>
          <w:sz w:val="22"/>
        </w:rPr>
        <w:t>We consider a frozen ViT backbone Φ that processes an image of size H×W×3 into N=(H/P)×(W/P) patch tokens plus a [CLS] token across L transformer blocks. Our goal is to train a lightweight post-hoc aggregation module that improves the image representation C without modifying Φ.</w:t>
      </w:r>
    </w:p>
    <w:p w14:paraId="246D7580">
      <w:pPr>
        <w:spacing w:after="120" w:line="276" w:lineRule="auto"/>
        <w:jc w:val="left"/>
      </w:pPr>
      <w:r>
        <w:rPr>
          <w:rFonts w:ascii="Times New Roman" w:hAnsi="Times New Roman" w:eastAsia="Times New Roman"/>
          <w:b w:val="0"/>
          <w:i w:val="0"/>
          <w:color w:val="000000"/>
          <w:sz w:val="22"/>
        </w:rPr>
        <w:t>As established in Section II, the default [CLS] aggregation suffers from two complementary deficiencies: spatially, it shortcuts background patches under Lazy Aggregation; in depth, standard residual connections dilute layer contributions with uniform accumulation. LaSt-ViT addressed the spatial issue, but its single-cue frequency selection with a fixed Top-K budget cannot adapt to varying object scales or distinguish smooth foreground from smooth background. AttnRes addressed the depth issue, but applies uniform depth attention across all tokens without distinguishing foreground from background streams. These gaps motivate our design: we jointly address spatial selection, depth aggregation, and foreground-background separation within a single aggregation framework.</w:t>
      </w:r>
    </w:p>
    <w:p w14:paraId="3C1A8EB4">
      <w:pPr>
        <w:spacing w:after="120" w:line="276" w:lineRule="auto"/>
        <w:jc w:val="left"/>
      </w:pPr>
      <w:r>
        <w:rPr>
          <w:rFonts w:ascii="Times New Roman" w:hAnsi="Times New Roman" w:eastAsia="Times New Roman"/>
          <w:b w:val="0"/>
          <w:i w:val="0"/>
          <w:color w:val="000000"/>
          <w:sz w:val="22"/>
        </w:rPr>
        <w:t>Concretely, DAFB-CLS consists of three components. The Foreground Scoring and Masking module, described in Section III-B, fuses multiple complementary cues into a per-patch foregroundness score and converts it to an image-adaptive soft mask. The Dual CLS with Depth Attention module, described in Section III-C, decouples the CLS token into foreground and background streams, applies independent depth-wise attention to each, and fuses them through a learned task-adaptive gate. The training objective, described in Section III-D, combines task loss with three auxiliary losses that regularize the aggregation. Figure 1 illustrates the complete framework.</w:t>
      </w:r>
    </w:p>
    <w:p w14:paraId="6C7038FE">
      <w:pPr>
        <w:spacing w:before="160" w:after="100"/>
        <w:jc w:val="left"/>
      </w:pPr>
      <w:r>
        <w:rPr>
          <w:rFonts w:ascii="Times New Roman" w:hAnsi="Times New Roman" w:eastAsia="Times New Roman"/>
          <w:b/>
          <w:i w:val="0"/>
          <w:color w:val="000000"/>
          <w:sz w:val="24"/>
        </w:rPr>
        <w:t>B. Foreground Scoring and Adaptive Masking</w:t>
      </w:r>
    </w:p>
    <w:p w14:paraId="3CE77B94">
      <w:pPr>
        <w:spacing w:after="120" w:line="276" w:lineRule="auto"/>
        <w:jc w:val="left"/>
      </w:pPr>
      <w:r>
        <w:rPr>
          <w:rFonts w:ascii="Times New Roman" w:hAnsi="Times New Roman" w:eastAsia="Times New Roman"/>
          <w:b/>
          <w:i w:val="0"/>
          <w:color w:val="000000"/>
          <w:sz w:val="22"/>
        </w:rPr>
        <w:t xml:space="preserve">Motivation. </w:t>
      </w:r>
      <w:r>
        <w:rPr>
          <w:rFonts w:ascii="Times New Roman" w:hAnsi="Times New Roman" w:eastAsia="Times New Roman"/>
          <w:b w:val="0"/>
          <w:i w:val="0"/>
          <w:color w:val="000000"/>
          <w:sz w:val="22"/>
        </w:rPr>
        <w:t>LaSt-ViT demonstrated that frequency-domain stability distinguishes foreground from background patches, but relying on a single cue creates a brittle signal: when a foreground object happens to be spectrally smooth, such as a white swan, it becomes indistinguishable from smooth background regions, such as sky. Moreover, the fixed Top-K selection ratio assumes a constant foreground proportion across images, an assumption violated by the wide variation in object size and scene complexity in natural images. These two limitations, identified empirically in Section IV-C, motivate us to enrich the foreground signal with multiple complementary cues and replace the rigid budget with an image-adaptive threshold.</w:t>
      </w:r>
    </w:p>
    <w:p w14:paraId="0BFAA215">
      <w:pPr>
        <w:spacing w:after="120" w:line="276" w:lineRule="auto"/>
        <w:jc w:val="left"/>
      </w:pPr>
      <w:r>
        <w:rPr>
          <w:rFonts w:ascii="Times New Roman" w:hAnsi="Times New Roman" w:eastAsia="Times New Roman"/>
          <w:b/>
          <w:i w:val="0"/>
          <w:color w:val="000000"/>
          <w:sz w:val="22"/>
        </w:rPr>
        <w:t xml:space="preserve">Multi-cue foregroundness scoring. </w:t>
      </w:r>
      <w:r>
        <w:rPr>
          <w:rFonts w:ascii="Times New Roman" w:hAnsi="Times New Roman" w:eastAsia="Times New Roman"/>
          <w:b w:val="0"/>
          <w:i w:val="0"/>
          <w:color w:val="000000"/>
          <w:sz w:val="22"/>
        </w:rPr>
        <w:t>We design four cues that capture orthogonal aspects of foregroundness, each producing a per-patch score matrix with size B×N. Frequency stability Sᵢ follows LaSt-ViT: we compute the 1D FFT of each patch feature along the channel dimension, apply a Gaussian low-pass filter G(σf)=exp(−f²/(2σf²)), and measure the ratio of filtered to original signal. Foreground patches exhibit stable low-frequency activations, producing high Sᵢ.</w:t>
      </w:r>
    </w:p>
    <w:p w14:paraId="24830E42">
      <w:pPr>
        <w:spacing w:after="120" w:line="276" w:lineRule="auto"/>
        <w:jc w:val="left"/>
        <w:rPr>
          <w:rFonts w:ascii="Times New Roman" w:hAnsi="Times New Roman" w:eastAsia="Times New Roman"/>
          <w:b w:val="0"/>
          <w:i w:val="0"/>
          <w:color w:val="000000"/>
          <w:sz w:val="22"/>
        </w:rPr>
      </w:pPr>
      <w:r>
        <w:rPr>
          <w:rFonts w:ascii="Times New Roman" w:hAnsi="Times New Roman" w:eastAsia="Times New Roman"/>
          <w:b w:val="0"/>
          <w:i w:val="0"/>
          <w:color w:val="000000"/>
          <w:sz w:val="22"/>
        </w:rPr>
        <w:t>Depth consistency Dᵢ is based on the observation that patches belonging to semantically meaningful objects maintain more consistent representations across network depth than background patches, which lack strong semantic anchoring. We measure this consistency as the average cosine similarity between each layer's feature and the cross-layer mean:</w:t>
      </w:r>
    </w:p>
    <w:p w14:paraId="3D81E6DA">
      <w:pPr>
        <w:pStyle w:val="13"/>
      </w:pPr>
      <m:oMath>
        <m:sSub>
          <m:sSubPr/>
          <m:e>
            <m:bar>
              <m:barPr>
                <m:pos m:val="top"/>
              </m:barPr>
              <m:e>
                <m:r>
                  <m:rPr/>
                  <m:t>p</m:t>
                </m:r>
              </m:e>
            </m:bar>
          </m:e>
          <m:sub>
            <m:r>
              <m:rPr/>
              <m:t>i</m:t>
            </m:r>
          </m:sub>
        </m:sSub>
        <m:r>
          <m:rPr>
            <m:sty m:val="p"/>
          </m:rPr>
          <m:t>=</m:t>
        </m:r>
        <m:f>
          <m:fPr/>
          <m:num>
            <m:r>
              <m:rPr/>
              <m:t>1</m:t>
            </m:r>
          </m:num>
          <m:den>
            <m:r>
              <m:rPr/>
              <m:t>K</m:t>
            </m:r>
          </m:den>
        </m:f>
        <m:nary>
          <m:naryPr>
            <m:chr m:val="∑"/>
            <m:limLoc m:val="undOvr"/>
          </m:naryPr>
          <m:sub>
            <m:r>
              <m:rPr/>
              <m:t>k</m:t>
            </m:r>
            <m:r>
              <m:rPr>
                <m:sty m:val="p"/>
              </m:rPr>
              <m:t>=</m:t>
            </m:r>
            <m:r>
              <m:rPr/>
              <m:t>1</m:t>
            </m:r>
          </m:sub>
          <m:sup>
            <m:r>
              <m:rPr/>
              <m:t>K</m:t>
            </m:r>
          </m:sup>
          <m:e>
            <m:sSubSup>
              <m:sSubSupPr/>
              <m:e>
                <m:r>
                  <m:rPr/>
                  <m:t>P</m:t>
                </m:r>
              </m:e>
              <m:sub>
                <m:r>
                  <m:rPr/>
                  <m:t>i</m:t>
                </m:r>
              </m:sub>
              <m:sup>
                <m:sSub>
                  <m:sSubPr/>
                  <m:e>
                    <m:r>
                      <m:rPr/>
                      <m:t>l</m:t>
                    </m:r>
                  </m:e>
                  <m:sub>
                    <m:r>
                      <m:rPr/>
                      <m:t>k</m:t>
                    </m:r>
                  </m:sub>
                </m:sSub>
              </m:sup>
            </m:sSubSup>
          </m:e>
        </m:nary>
        <m:r>
          <m:rPr>
            <m:sty m:val="p"/>
          </m:rPr>
          <m:t>,</m:t>
        </m:r>
        <m:r>
          <m:rPr/>
          <m:t> </m:t>
        </m:r>
        <m:sSub>
          <m:sSubPr/>
          <m:e>
            <m:r>
              <m:rPr/>
              <m:t>D</m:t>
            </m:r>
          </m:e>
          <m:sub>
            <m:r>
              <m:rPr/>
              <m:t>i</m:t>
            </m:r>
          </m:sub>
        </m:sSub>
        <m:r>
          <m:rPr>
            <m:sty m:val="p"/>
          </m:rPr>
          <m:t>=</m:t>
        </m:r>
        <m:f>
          <m:fPr/>
          <m:num>
            <m:r>
              <m:rPr/>
              <m:t>1</m:t>
            </m:r>
          </m:num>
          <m:den>
            <m:r>
              <m:rPr/>
              <m:t>K</m:t>
            </m:r>
          </m:den>
        </m:f>
        <m:nary>
          <m:naryPr>
            <m:chr m:val="∑"/>
            <m:limLoc m:val="undOvr"/>
          </m:naryPr>
          <m:sub>
            <m:r>
              <m:rPr/>
              <m:t>k</m:t>
            </m:r>
            <m:r>
              <m:rPr>
                <m:sty m:val="p"/>
              </m:rPr>
              <m:t>=</m:t>
            </m:r>
            <m:r>
              <m:rPr/>
              <m:t>1</m:t>
            </m:r>
          </m:sub>
          <m:sup>
            <m:r>
              <m:rPr/>
              <m:t>K</m:t>
            </m:r>
          </m:sup>
          <m:e>
            <m:f>
              <m:fPr/>
              <m:num>
                <m:sSubSup>
                  <m:sSubSupPr/>
                  <m:e>
                    <m:r>
                      <m:rPr/>
                      <m:t>P</m:t>
                    </m:r>
                  </m:e>
                  <m:sub>
                    <m:r>
                      <m:rPr/>
                      <m:t>i</m:t>
                    </m:r>
                  </m:sub>
                  <m:sup>
                    <m:sSub>
                      <m:sSubPr/>
                      <m:e>
                        <m:r>
                          <m:rPr/>
                          <m:t>l</m:t>
                        </m:r>
                      </m:e>
                      <m:sub>
                        <m:r>
                          <m:rPr/>
                          <m:t>k</m:t>
                        </m:r>
                      </m:sub>
                    </m:sSub>
                  </m:sup>
                </m:sSubSup>
                <m:r>
                  <m:rPr>
                    <m:sty m:val="p"/>
                  </m:rPr>
                  <m:t>⋅</m:t>
                </m:r>
                <m:sSub>
                  <m:sSubPr/>
                  <m:e>
                    <m:bar>
                      <m:barPr>
                        <m:pos m:val="top"/>
                      </m:barPr>
                      <m:e>
                        <m:r>
                          <m:rPr/>
                          <m:t>p</m:t>
                        </m:r>
                      </m:e>
                    </m:bar>
                  </m:e>
                  <m:sub>
                    <m:r>
                      <m:rPr/>
                      <m:t>i</m:t>
                    </m:r>
                  </m:sub>
                </m:sSub>
              </m:num>
              <m:den>
                <m:sSub>
                  <m:sSubPr/>
                  <m:e>
                    <m:d>
                      <m:dPr>
                        <m:begChr m:val="∥"/>
                        <m:sepChr m:val=""/>
                        <m:endChr m:val="∥"/>
                      </m:dPr>
                      <m:e>
                        <m:m>
                          <m:mPr>
                            <m:mcs>
                              <m:mc>
                                <m:mcPr>
                                  <m:count m:val="1"/>
                                  <m:mcJc m:val="center"/>
                                </m:mcPr>
                              </m:mc>
                            </m:mcs>
                            <m:plcHide m:val="1"/>
                          </m:mPr>
                          <m:mr>
                            <m:e>
                              <m:sSubSup>
                                <m:sSubSupPr/>
                                <m:e>
                                  <m:r>
                                    <m:rPr/>
                                    <m:t>P</m:t>
                                  </m:r>
                                </m:e>
                                <m:sub>
                                  <m:r>
                                    <m:rPr/>
                                    <m:t>i</m:t>
                                  </m:r>
                                </m:sub>
                                <m:sup>
                                  <m:sSub>
                                    <m:sSubPr/>
                                    <m:e>
                                      <m:r>
                                        <m:rPr/>
                                        <m:t>l</m:t>
                                      </m:r>
                                    </m:e>
                                    <m:sub>
                                      <m:r>
                                        <m:rPr/>
                                        <m:t>k</m:t>
                                      </m:r>
                                    </m:sub>
                                  </m:sSub>
                                </m:sup>
                              </m:sSubSup>
                            </m:e>
                          </m:mr>
                        </m:m>
                      </m:e>
                    </m:d>
                  </m:e>
                  <m:sub>
                    <m:r>
                      <m:rPr/>
                      <m:t>2</m:t>
                    </m:r>
                  </m:sub>
                </m:sSub>
                <m:sSub>
                  <m:sSubPr/>
                  <m:e>
                    <m:d>
                      <m:dPr>
                        <m:begChr m:val="∥"/>
                        <m:sepChr m:val=""/>
                        <m:endChr m:val="∥"/>
                      </m:dPr>
                      <m:e>
                        <m:m>
                          <m:mPr>
                            <m:mcs>
                              <m:mc>
                                <m:mcPr>
                                  <m:count m:val="1"/>
                                  <m:mcJc m:val="center"/>
                                </m:mcPr>
                              </m:mc>
                            </m:mcs>
                            <m:plcHide m:val="1"/>
                          </m:mPr>
                          <m:mr>
                            <m:e>
                              <m:sSub>
                                <m:sSubPr/>
                                <m:e>
                                  <m:bar>
                                    <m:barPr>
                                      <m:pos m:val="top"/>
                                    </m:barPr>
                                    <m:e>
                                      <m:r>
                                        <m:rPr/>
                                        <m:t>p</m:t>
                                      </m:r>
                                    </m:e>
                                  </m:bar>
                                </m:e>
                                <m:sub>
                                  <m:r>
                                    <m:rPr/>
                                    <m:t>i</m:t>
                                  </m:r>
                                </m:sub>
                              </m:sSub>
                            </m:e>
                          </m:mr>
                        </m:m>
                      </m:e>
                    </m:d>
                  </m:e>
                  <m:sub>
                    <m:r>
                      <m:rPr/>
                      <m:t>2</m:t>
                    </m:r>
                  </m:sub>
                </m:sSub>
              </m:den>
            </m:f>
          </m:e>
        </m:nary>
      </m:oMath>
      <w:r>
        <w:t xml:space="preserve"> (1)</w:t>
      </w:r>
    </w:p>
    <w:p w14:paraId="2D617D3D">
      <w:pPr>
        <w:spacing w:after="120" w:line="276" w:lineRule="auto"/>
        <w:jc w:val="left"/>
        <w:rPr>
          <w:rFonts w:ascii="Times New Roman" w:hAnsi="Times New Roman" w:eastAsia="Times New Roman"/>
          <w:b w:val="0"/>
          <w:i w:val="0"/>
          <w:color w:val="000000"/>
          <w:sz w:val="22"/>
        </w:rPr>
      </w:pPr>
    </w:p>
    <w:p w14:paraId="306FA390">
      <w:pPr>
        <w:spacing w:before="80" w:after="160"/>
        <w:jc w:val="center"/>
      </w:pPr>
    </w:p>
    <w:p w14:paraId="5BB91EF4">
      <w:pPr>
        <w:spacing w:after="120" w:line="276" w:lineRule="auto"/>
        <w:jc w:val="left"/>
      </w:pPr>
      <w:r>
        <w:rPr>
          <w:rFonts w:ascii="Times New Roman" w:hAnsi="Times New Roman" w:eastAsia="Times New Roman"/>
          <w:b w:val="0"/>
          <w:i w:val="0"/>
          <w:color w:val="000000"/>
          <w:sz w:val="22"/>
        </w:rPr>
        <w:t>Semantic alignment Aᵢ measures how strongly each patch feature aligns with the global [CLS] token across layers by averaging the cosine similarity to ccls over the extracted layers. For text-supervised backbones, we optionally use text-guided alignment by taking the maximum cosine similarity to the text prototype tj at the last extracted layer. Spatial compactness Cᵢ reflects the fact that foreground objects occupy spatially contiguous regions. We apply average pooling with a 3×3 kernel to the semantic alignment score map, enforcing local neighborhood coherence without additional parameters.</w:t>
      </w:r>
    </w:p>
    <w:p w14:paraId="071D3987">
      <w:pPr>
        <w:spacing w:after="120" w:line="276" w:lineRule="auto"/>
        <w:jc w:val="left"/>
        <w:rPr>
          <w:rFonts w:ascii="Times New Roman" w:hAnsi="Times New Roman" w:eastAsia="Times New Roman"/>
          <w:b w:val="0"/>
          <w:i w:val="0"/>
          <w:color w:val="000000"/>
          <w:sz w:val="22"/>
        </w:rPr>
      </w:pPr>
      <w:r>
        <w:rPr>
          <w:rFonts w:ascii="Times New Roman" w:hAnsi="Times New Roman" w:eastAsia="Times New Roman"/>
          <w:b w:val="0"/>
          <w:i w:val="0"/>
          <w:color w:val="000000"/>
          <w:sz w:val="22"/>
        </w:rPr>
        <w:t>The four cues are fused through a combination of learned softmax weights and a two-layer MLP that captures nonlinear cue interactions:</w:t>
      </w:r>
    </w:p>
    <w:p w14:paraId="4D58C7C4">
      <w:pPr>
        <w:pStyle w:val="13"/>
        <w:rPr>
          <w:rFonts w:ascii="Times New Roman" w:hAnsi="Times New Roman" w:eastAsia="Times New Roman"/>
          <w:b w:val="0"/>
          <w:i w:val="0"/>
          <w:color w:val="000000"/>
          <w:sz w:val="22"/>
        </w:rPr>
      </w:pPr>
      <m:oMath>
        <m:sSub>
          <m:sSubPr/>
          <m:e>
            <m:r>
              <m:rPr/>
              <m:t>F</m:t>
            </m:r>
          </m:e>
          <m:sub>
            <m:r>
              <m:rPr/>
              <m:t>i</m:t>
            </m:r>
          </m:sub>
        </m:sSub>
        <m:r>
          <m:rPr>
            <m:sty m:val="p"/>
          </m:rPr>
          <m:t>=</m:t>
        </m:r>
        <m:limLow>
          <m:limLowPr/>
          <m:e>
            <m:limLow>
              <m:limLowPr/>
              <m:e>
                <m:nary>
                  <m:naryPr>
                    <m:chr m:val="∑"/>
                    <m:limLoc m:val="undOvr"/>
                  </m:naryPr>
                  <m:sub>
                    <m:r>
                      <m:rPr/>
                      <m:t>k</m:t>
                    </m:r>
                    <m:r>
                      <m:rPr>
                        <m:sty m:val="p"/>
                      </m:rPr>
                      <m:t>=</m:t>
                    </m:r>
                    <m:r>
                      <m:rPr/>
                      <m:t>1</m:t>
                    </m:r>
                  </m:sub>
                  <m:sup>
                    <m:r>
                      <m:rPr/>
                      <m:t>4</m:t>
                    </m:r>
                  </m:sup>
                  <m:e>
                    <m:sSub>
                      <m:sSubPr/>
                      <m:e>
                        <m:r>
                          <m:rPr/>
                          <m:t>w</m:t>
                        </m:r>
                      </m:e>
                      <m:sub>
                        <m:r>
                          <m:rPr/>
                          <m:t>k</m:t>
                        </m:r>
                      </m:sub>
                    </m:sSub>
                  </m:e>
                </m:nary>
                <m:sSub>
                  <m:sSubPr/>
                  <m:e>
                    <m:r>
                      <m:rPr/>
                      <m:t>s</m:t>
                    </m:r>
                  </m:e>
                  <m:sub>
                    <m:r>
                      <m:rPr/>
                      <m:t>i</m:t>
                    </m:r>
                    <m:r>
                      <m:rPr>
                        <m:sty m:val="p"/>
                      </m:rPr>
                      <m:t>,</m:t>
                    </m:r>
                    <m:r>
                      <m:rPr/>
                      <m:t>k</m:t>
                    </m:r>
                  </m:sub>
                </m:sSub>
              </m:e>
              <m:lim>
                <m:r>
                  <m:rPr>
                    <m:sty m:val="p"/>
                  </m:rPr>
                  <m:t>⏟</m:t>
                </m:r>
              </m:lim>
            </m:limLow>
          </m:e>
          <m:lim>
            <m:r>
              <m:rPr>
                <m:nor/>
                <m:sty m:val="p"/>
              </m:rPr>
              <w:rPr>
                <w:b w:val="0"/>
                <w:i w:val="0"/>
              </w:rPr>
              <m:t>linear </m:t>
            </m:r>
          </m:lim>
        </m:limLow>
        <m:r>
          <m:rPr>
            <m:sty m:val="p"/>
          </m:rPr>
          <m:t>+</m:t>
        </m:r>
        <m:limLow>
          <m:limLowPr/>
          <m:e>
            <m:limLow>
              <m:limLowPr/>
              <m:e>
                <m:r>
                  <m:rPr/>
                  <m:t>MLP</m:t>
                </m:r>
                <m:d>
                  <m:dPr>
                    <m:sepChr m:val=""/>
                  </m:dPr>
                  <m:e>
                    <m:sSub>
                      <m:sSubPr/>
                      <m:e>
                        <m:r>
                          <m:rPr/>
                          <m:t>s</m:t>
                        </m:r>
                      </m:e>
                      <m:sub>
                        <m:r>
                          <m:rPr/>
                          <m:t>i</m:t>
                        </m:r>
                      </m:sub>
                    </m:sSub>
                  </m:e>
                </m:d>
              </m:e>
              <m:lim>
                <m:r>
                  <m:rPr>
                    <m:sty m:val="p"/>
                  </m:rPr>
                  <m:t>⏟</m:t>
                </m:r>
              </m:lim>
            </m:limLow>
          </m:e>
          <m:lim>
            <m:r>
              <m:rPr>
                <m:nor/>
                <m:sty m:val="p"/>
              </m:rPr>
              <w:rPr>
                <w:b w:val="0"/>
                <w:i w:val="0"/>
              </w:rPr>
              <m:t>nonlinear </m:t>
            </m:r>
          </m:lim>
        </m:limLow>
        <m:r>
          <m:rPr>
            <m:sty m:val="p"/>
          </m:rPr>
          <m:t>+</m:t>
        </m:r>
        <m:r>
          <m:rPr/>
          <m:t>0.5</m:t>
        </m:r>
        <m:r>
          <m:rPr>
            <m:sty m:val="p"/>
          </m:rPr>
          <m:t>⋅</m:t>
        </m:r>
        <m:r>
          <m:rPr/>
          <m:t>σ</m:t>
        </m:r>
        <m:sSub>
          <m:sSubPr/>
          <m:e>
            <m:d>
              <m:dPr>
                <m:sepChr m:val=""/>
              </m:dPr>
              <m:e>
                <m:sSub>
                  <m:sSubPr/>
                  <m:e>
                    <m:r>
                      <m:rPr/>
                      <m:t>W</m:t>
                    </m:r>
                  </m:e>
                  <m:sub>
                    <m:r>
                      <m:rPr/>
                      <m:t>s</m:t>
                    </m:r>
                  </m:sub>
                </m:sSub>
                <m:r>
                  <m:rPr>
                    <m:sty m:val="p"/>
                  </m:rPr>
                  <m:t>∗</m:t>
                </m:r>
                <m:r>
                  <m:rPr/>
                  <m:t>Reshape</m:t>
                </m:r>
                <m:r>
                  <m:rPr>
                    <m:sty m:val="p"/>
                  </m:rPr>
                  <m:t>(⋅)</m:t>
                </m:r>
              </m:e>
            </m:d>
          </m:e>
          <m:sub>
            <m:r>
              <m:rPr>
                <m:sty m:val="p"/>
              </m:rPr>
              <m:t>[</m:t>
            </m:r>
            <m:r>
              <m:rPr/>
              <m:t>i</m:t>
            </m:r>
            <m:r>
              <m:rPr>
                <m:sty m:val="p"/>
              </m:rPr>
              <m:t>]</m:t>
            </m:r>
          </m:sub>
        </m:sSub>
      </m:oMath>
      <w:r>
        <w:t xml:space="preserve"> (2)</w:t>
      </w:r>
    </w:p>
    <w:p w14:paraId="1E83C68A">
      <w:pPr>
        <w:spacing w:before="80" w:after="160"/>
        <w:jc w:val="center"/>
      </w:pPr>
      <w:r>
        <w:drawing>
          <wp:inline distT="0" distB="0" distL="114300" distR="114300">
            <wp:extent cx="5170170" cy="71628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170170" cy="716331"/>
                    </a:xfrm>
                    <a:prstGeom prst="rect">
                      <a:avLst/>
                    </a:prstGeom>
                  </pic:spPr>
                </pic:pic>
              </a:graphicData>
            </a:graphic>
          </wp:inline>
        </w:drawing>
      </w:r>
    </w:p>
    <w:p w14:paraId="49B3417F">
      <w:pPr>
        <w:spacing w:after="120" w:line="276" w:lineRule="auto"/>
        <w:jc w:val="left"/>
      </w:pPr>
      <w:r>
        <w:rPr>
          <w:rFonts w:ascii="Times New Roman" w:hAnsi="Times New Roman" w:eastAsia="Times New Roman"/>
          <w:b w:val="0"/>
          <w:i w:val="0"/>
          <w:color w:val="000000"/>
          <w:sz w:val="22"/>
        </w:rPr>
        <w:t>where w=softmax(θw) are learnable cue weights, and the final term applies 3×3 convolutional spatial smoothing, initialized to uniform 1/9, to ensure spatial coherence of the foregroundness map.</w:t>
      </w:r>
    </w:p>
    <w:p w14:paraId="7432401B">
      <w:pPr>
        <w:spacing w:after="120" w:line="276" w:lineRule="auto"/>
        <w:jc w:val="left"/>
      </w:pPr>
      <w:r>
        <w:rPr>
          <w:rFonts w:ascii="Times New Roman" w:hAnsi="Times New Roman" w:eastAsia="Times New Roman"/>
          <w:b/>
          <w:i w:val="0"/>
          <w:color w:val="000000"/>
          <w:sz w:val="22"/>
        </w:rPr>
        <w:t xml:space="preserve">Adaptive masking. </w:t>
      </w:r>
      <w:r>
        <w:rPr>
          <w:rFonts w:ascii="Times New Roman" w:hAnsi="Times New Roman" w:eastAsia="Times New Roman"/>
          <w:b w:val="0"/>
          <w:i w:val="0"/>
          <w:color w:val="000000"/>
          <w:sz w:val="22"/>
        </w:rPr>
        <w:t>Rather than selecting a fixed top-K fraction of patches, we predict an image-specific threshold τ from the global feature ccls and apply a temperature-controlled sigmoid:</w:t>
      </w:r>
    </w:p>
    <w:p w14:paraId="49306B19">
      <w:pPr>
        <w:pStyle w:val="13"/>
      </w:pPr>
      <m:oMath>
        <m:r>
          <m:rPr/>
          <m:t>τ</m:t>
        </m:r>
        <m:r>
          <m:rPr>
            <m:sty m:val="p"/>
          </m:rPr>
          <m:t>=</m:t>
        </m:r>
        <m:sSub>
          <m:sSubPr/>
          <m:e>
            <m:r>
              <m:rPr/>
              <m:t>MLP</m:t>
            </m:r>
          </m:e>
          <m:sub>
            <m:r>
              <m:rPr/>
              <m:t>τ</m:t>
            </m:r>
          </m:sub>
        </m:sSub>
        <m:d>
          <m:dPr>
            <m:sepChr m:val=""/>
          </m:dPr>
          <m:e>
            <m:sSub>
              <m:sSubPr/>
              <m:e>
                <m:r>
                  <m:rPr/>
                  <m:t>c</m:t>
                </m:r>
              </m:e>
              <m:sub>
                <m:r>
                  <m:rPr/>
                  <m:t>cls</m:t>
                </m:r>
              </m:sub>
            </m:sSub>
          </m:e>
        </m:d>
        <m:r>
          <m:rPr>
            <m:sty m:val="p"/>
          </m:rPr>
          <m:t>,</m:t>
        </m:r>
        <m:r>
          <m:rPr/>
          <m:t> </m:t>
        </m:r>
        <m:sSubSup>
          <m:sSubSupPr/>
          <m:e>
            <m:r>
              <m:rPr/>
              <m:t>m</m:t>
            </m:r>
          </m:e>
          <m:sub>
            <m:r>
              <m:rPr/>
              <m:t>i</m:t>
            </m:r>
          </m:sub>
          <m:sup>
            <m:r>
              <m:rPr/>
              <m:t>F</m:t>
            </m:r>
          </m:sup>
        </m:sSubSup>
        <m:r>
          <m:rPr>
            <m:sty m:val="p"/>
          </m:rPr>
          <m:t>=</m:t>
        </m:r>
        <m:r>
          <m:rPr/>
          <m:t>σ</m:t>
        </m:r>
        <m:d>
          <m:dPr>
            <m:sepChr m:val=""/>
          </m:dPr>
          <m:e>
            <m:f>
              <m:fPr/>
              <m:num>
                <m:sSub>
                  <m:sSubPr/>
                  <m:e>
                    <m:r>
                      <m:rPr/>
                      <m:t>F</m:t>
                    </m:r>
                  </m:e>
                  <m:sub>
                    <m:r>
                      <m:rPr/>
                      <m:t>i</m:t>
                    </m:r>
                  </m:sub>
                </m:sSub>
                <m:r>
                  <m:rPr>
                    <m:sty m:val="p"/>
                  </m:rPr>
                  <m:t>−</m:t>
                </m:r>
                <m:r>
                  <m:rPr/>
                  <m:t>τ</m:t>
                </m:r>
              </m:num>
              <m:den>
                <m:r>
                  <m:rPr/>
                  <m:t>T</m:t>
                </m:r>
              </m:den>
            </m:f>
          </m:e>
        </m:d>
      </m:oMath>
      <w:r>
        <w:t xml:space="preserve"> (3)</w:t>
      </w:r>
    </w:p>
    <w:p w14:paraId="4C4430EB">
      <w:pPr>
        <w:spacing w:after="120" w:line="276" w:lineRule="auto"/>
        <w:jc w:val="left"/>
      </w:pPr>
      <w:r>
        <w:rPr>
          <w:rFonts w:ascii="Times New Roman" w:hAnsi="Times New Roman" w:eastAsia="Times New Roman"/>
          <w:b w:val="0"/>
          <w:i w:val="0"/>
          <w:color w:val="000000"/>
          <w:sz w:val="22"/>
        </w:rPr>
        <w:t xml:space="preserve">where </w:t>
      </w:r>
      <m:oMath>
        <m:r>
          <m:rPr/>
          <m:t>τ</m:t>
        </m:r>
      </m:oMath>
      <w:r>
        <w:rPr>
          <w:rFonts w:ascii="Times New Roman" w:hAnsi="Times New Roman" w:eastAsia="Times New Roman"/>
          <w:b w:val="0"/>
          <w:i w:val="0"/>
          <w:color w:val="000000"/>
          <w:sz w:val="22"/>
        </w:rPr>
        <w:t xml:space="preserve"> is a learnable temperature, initialized to 0.1 in log-space and clamped to [0.01, 1.0]. This soft mask naturally adapts to images with different foreground proportions and avoids the gradient discontinuity of hard thresholding. A budget regularization loss, described in Section III-D, prevents degenerate all-foreground or all-background solutions.</w:t>
      </w:r>
    </w:p>
    <w:p w14:paraId="093AE598">
      <w:pPr>
        <w:spacing w:before="160" w:after="100"/>
        <w:jc w:val="left"/>
      </w:pPr>
      <w:r>
        <w:rPr>
          <w:rFonts w:ascii="Times New Roman" w:hAnsi="Times New Roman" w:eastAsia="Times New Roman"/>
          <w:b/>
          <w:i w:val="0"/>
          <w:color w:val="000000"/>
          <w:sz w:val="24"/>
        </w:rPr>
        <w:t>C. Dual CLS Decoupling with Depth Attention</w:t>
      </w:r>
    </w:p>
    <w:p w14:paraId="590D336D">
      <w:pPr>
        <w:spacing w:after="120" w:line="276" w:lineRule="auto"/>
        <w:jc w:val="left"/>
      </w:pPr>
      <w:r>
        <w:rPr>
          <w:rFonts w:ascii="Times New Roman" w:hAnsi="Times New Roman" w:eastAsia="Times New Roman"/>
          <w:b/>
          <w:i w:val="0"/>
          <w:color w:val="000000"/>
          <w:sz w:val="22"/>
        </w:rPr>
        <w:t xml:space="preserve">Motivation. </w:t>
      </w:r>
      <w:r>
        <w:rPr>
          <w:rFonts w:ascii="Times New Roman" w:hAnsi="Times New Roman" w:eastAsia="Times New Roman"/>
          <w:b w:val="0"/>
          <w:i w:val="0"/>
          <w:color w:val="000000"/>
          <w:sz w:val="22"/>
        </w:rPr>
        <w:t>A natural question is why we maintain a separate background stream rather than simply suppressing background. The answer lies in the complementary value of background information: scene type, spatial layout, and co-occurrence statistics aid classification and may even support localization. However, under the default aggregation, this background context contaminates the [CLS] token through Lazy Aggregation, degrading foreground localization. The solution is not to discard background but to decouple it: maintain two separate semantic streams so that each can develop task-relevant representations independently, then fuse them adaptively based on task requirements.</w:t>
      </w:r>
    </w:p>
    <w:p w14:paraId="0D072D6B">
      <w:pPr>
        <w:spacing w:after="120" w:line="276" w:lineRule="auto"/>
        <w:jc w:val="left"/>
      </w:pPr>
      <w:r>
        <w:rPr>
          <w:rFonts w:ascii="Times New Roman" w:hAnsi="Times New Roman" w:eastAsia="Times New Roman"/>
          <w:b w:val="0"/>
          <w:i w:val="0"/>
          <w:color w:val="000000"/>
          <w:sz w:val="22"/>
        </w:rPr>
        <w:t>Furthermore, as discussed in Section II, the depth dimension presents a complementary challenge. Standard residual connections accumulate all layers uniformly, yet different layers encode fundamentally different visual information: early layers capture textures and edges, while later layers encode object semantics. AttnRes showed that content-dependent depth selection improves aggregation, but applied a single mechanism uniformly across all tokens. In our decoupled setting, the foreground and background streams require different depth aggregation patterns: foreground objects benefit from emphasizing later semantic layers, while background context relies more on earlier spatial layers. This motivates independent depth-wise attention per stream.</w:t>
      </w:r>
    </w:p>
    <w:p w14:paraId="0BC8A601">
      <w:pPr>
        <w:spacing w:after="120" w:line="276" w:lineRule="auto"/>
        <w:jc w:val="left"/>
      </w:pPr>
      <w:r>
        <w:rPr>
          <w:rFonts w:ascii="Times New Roman" w:hAnsi="Times New Roman" w:eastAsia="Times New Roman"/>
          <w:b/>
          <w:i w:val="0"/>
          <w:color w:val="000000"/>
          <w:sz w:val="22"/>
        </w:rPr>
        <w:t xml:space="preserve">Dual CLS aggregation. </w:t>
      </w:r>
      <w:r>
        <w:rPr>
          <w:rFonts w:ascii="Times New Roman" w:hAnsi="Times New Roman" w:eastAsia="Times New Roman"/>
          <w:b w:val="0"/>
          <w:i w:val="0"/>
          <w:color w:val="000000"/>
          <w:sz w:val="22"/>
        </w:rPr>
        <w:t>Given the foreground mask, we compute foreground CLS tokens at each extracted layer by weighted averaging:</w:t>
      </w:r>
    </w:p>
    <w:p w14:paraId="72044D1B">
      <w:pPr>
        <w:spacing w:before="80" w:after="160"/>
        <w:jc w:val="center"/>
      </w:pPr>
      <m:oMath>
        <m:sSubSup>
          <m:sSubSupPr/>
          <m:e>
            <m:r>
              <m:rPr/>
              <m:t>B</m:t>
            </m:r>
          </m:e>
          <m:sub>
            <m:r>
              <m:rPr/>
              <m:t>l</m:t>
            </m:r>
          </m:sub>
          <m:sup>
            <m:r>
              <m:rPr/>
              <m:t>F</m:t>
            </m:r>
          </m:sup>
        </m:sSubSup>
        <m:r>
          <m:rPr>
            <m:sty m:val="p"/>
          </m:rPr>
          <m:t>=</m:t>
        </m:r>
        <m:f>
          <m:fPr/>
          <m:num>
            <m:nary>
              <m:naryPr>
                <m:chr m:val="∑"/>
                <m:limLoc m:val="undOvr"/>
              </m:naryPr>
              <m:sub>
                <m:r>
                  <m:rPr/>
                  <m:t>i</m:t>
                </m:r>
                <m:r>
                  <m:rPr>
                    <m:sty m:val="p"/>
                  </m:rPr>
                  <m:t>=</m:t>
                </m:r>
                <m:r>
                  <m:rPr/>
                  <m:t>1</m:t>
                </m:r>
              </m:sub>
              <m:sup>
                <m:r>
                  <m:rPr/>
                  <m:t>N</m:t>
                </m:r>
              </m:sup>
              <m:e>
                <m:sSubSup>
                  <m:sSubSupPr/>
                  <m:e>
                    <m:r>
                      <m:rPr/>
                      <m:t>m</m:t>
                    </m:r>
                  </m:e>
                  <m:sub>
                    <m:r>
                      <m:rPr/>
                      <m:t>i</m:t>
                    </m:r>
                  </m:sub>
                  <m:sup>
                    <m:r>
                      <m:rPr/>
                      <m:t>F</m:t>
                    </m:r>
                  </m:sup>
                </m:sSubSup>
              </m:e>
            </m:nary>
            <m:sSubSup>
              <m:sSubSupPr/>
              <m:e>
                <m:r>
                  <m:rPr/>
                  <m:t>P</m:t>
                </m:r>
              </m:e>
              <m:sub>
                <m:r>
                  <m:rPr/>
                  <m:t>i</m:t>
                </m:r>
              </m:sub>
              <m:sup>
                <m:r>
                  <m:rPr/>
                  <m:t>l</m:t>
                </m:r>
              </m:sup>
            </m:sSubSup>
          </m:num>
          <m:den>
            <m:nary>
              <m:naryPr>
                <m:chr m:val="∑"/>
                <m:limLoc m:val="undOvr"/>
              </m:naryPr>
              <m:sub>
                <m:r>
                  <m:rPr/>
                  <m:t>i</m:t>
                </m:r>
                <m:r>
                  <m:rPr>
                    <m:sty m:val="p"/>
                  </m:rPr>
                  <m:t>=</m:t>
                </m:r>
                <m:r>
                  <m:rPr/>
                  <m:t>1</m:t>
                </m:r>
              </m:sub>
              <m:sup>
                <m:r>
                  <m:rPr/>
                  <m:t>N</m:t>
                </m:r>
              </m:sup>
              <m:e>
                <m:sSubSup>
                  <m:sSubSupPr/>
                  <m:e>
                    <m:r>
                      <m:rPr/>
                      <m:t>m</m:t>
                    </m:r>
                  </m:e>
                  <m:sub>
                    <m:r>
                      <m:rPr/>
                      <m:t>i</m:t>
                    </m:r>
                  </m:sub>
                  <m:sup>
                    <m:r>
                      <m:rPr/>
                      <m:t>F</m:t>
                    </m:r>
                  </m:sup>
                </m:sSubSup>
              </m:e>
            </m:nary>
            <m:r>
              <m:rPr>
                <m:sty m:val="p"/>
              </m:rPr>
              <m:t>+</m:t>
            </m:r>
            <m:r>
              <m:rPr/>
              <m:t>ϵ</m:t>
            </m:r>
          </m:den>
        </m:f>
      </m:oMath>
      <w:r>
        <w:t xml:space="preserve"> (4)</w:t>
      </w:r>
    </w:p>
    <w:p w14:paraId="6C575548">
      <w:pPr>
        <w:spacing w:after="120" w:line="276" w:lineRule="auto"/>
        <w:jc w:val="left"/>
      </w:pPr>
      <w:r>
        <w:rPr>
          <w:rFonts w:ascii="Times New Roman" w:hAnsi="Times New Roman" w:eastAsia="Times New Roman"/>
          <w:b w:val="0"/>
          <w:i w:val="0"/>
          <w:color w:val="000000"/>
          <w:sz w:val="22"/>
        </w:rPr>
        <w:t>For the background stream, rather than defining it as the direct complement of the foreground stream, which would make it mechanically dependent on the foreground stream, we introduce a dedicated BackgroundnessHead that independently predicts a background score, modulated by an uncertainty estimator:</w:t>
      </w:r>
    </w:p>
    <w:p w14:paraId="57FE133D">
      <w:pPr>
        <w:pStyle w:val="13"/>
        <w:jc w:val="center"/>
      </w:pPr>
      <m:oMath>
        <m:sSubSup>
          <m:sSubSupPr/>
          <m:e>
            <m:r>
              <m:rPr/>
              <m:t>m</m:t>
            </m:r>
          </m:e>
          <m:sub>
            <m:r>
              <m:rPr/>
              <m:t>i</m:t>
            </m:r>
          </m:sub>
          <m:sup>
            <m:r>
              <m:rPr/>
              <m:t>B</m:t>
            </m:r>
          </m:sup>
        </m:sSubSup>
        <m:r>
          <m:rPr>
            <m:sty m:val="p"/>
          </m:rPr>
          <m:t>=</m:t>
        </m:r>
        <m:r>
          <m:rPr/>
          <m:t>σ</m:t>
        </m:r>
        <m:d>
          <m:dPr>
            <m:sepChr m:val=""/>
          </m:dPr>
          <m:e>
            <m:sSub>
              <m:sSubPr/>
              <m:e>
                <m:r>
                  <m:rPr/>
                  <m:t>MLP</m:t>
                </m:r>
              </m:e>
              <m:sub>
                <m:r>
                  <m:rPr/>
                  <m:t>B</m:t>
                </m:r>
              </m:sub>
            </m:sSub>
            <m:d>
              <m:dPr>
                <m:sepChr m:val=""/>
              </m:dPr>
              <m:e>
                <m:sSubSup>
                  <m:sSubSupPr/>
                  <m:e>
                    <m:r>
                      <m:rPr/>
                      <m:t>P</m:t>
                    </m:r>
                  </m:e>
                  <m:sub>
                    <m:r>
                      <m:rPr/>
                      <m:t>i</m:t>
                    </m:r>
                  </m:sub>
                  <m:sup>
                    <m:sSub>
                      <m:sSubPr/>
                      <m:e>
                        <m:r>
                          <m:rPr/>
                          <m:t>l</m:t>
                        </m:r>
                      </m:e>
                      <m:sub>
                        <m:r>
                          <m:rPr/>
                          <m:t>K</m:t>
                        </m:r>
                      </m:sub>
                    </m:sSub>
                  </m:sup>
                </m:sSubSup>
              </m:e>
            </m:d>
          </m:e>
        </m:d>
        <m:r>
          <m:rPr>
            <m:sty m:val="p"/>
          </m:rPr>
          <m:t>⋅</m:t>
        </m:r>
        <m:d>
          <m:dPr>
            <m:sepChr m:val=""/>
          </m:dPr>
          <m:e>
            <m:r>
              <m:rPr/>
              <m:t>1</m:t>
            </m:r>
            <m:r>
              <m:rPr>
                <m:sty m:val="p"/>
              </m:rPr>
              <m:t>−</m:t>
            </m:r>
            <m:sSubSup>
              <m:sSubSupPr/>
              <m:e>
                <m:r>
                  <m:rPr/>
                  <m:t>m</m:t>
                </m:r>
              </m:e>
              <m:sub>
                <m:r>
                  <m:rPr/>
                  <m:t>i</m:t>
                </m:r>
              </m:sub>
              <m:sup>
                <m:r>
                  <m:rPr/>
                  <m:t>F</m:t>
                </m:r>
              </m:sup>
            </m:sSubSup>
          </m:e>
        </m:d>
        <m:r>
          <m:rPr>
            <m:sty m:val="p"/>
          </m:rPr>
          <m:t>⋅</m:t>
        </m:r>
        <m:r>
          <m:rPr/>
          <m:t>σ</m:t>
        </m:r>
        <m:d>
          <m:dPr>
            <m:sepChr m:val=""/>
          </m:dPr>
          <m:e>
            <m:sSub>
              <m:sSubPr/>
              <m:e>
                <m:r>
                  <m:rPr/>
                  <m:t>MLP</m:t>
                </m:r>
              </m:e>
              <m:sub>
                <m:r>
                  <m:rPr/>
                  <m:t>U</m:t>
                </m:r>
              </m:sub>
            </m:sSub>
            <m:d>
              <m:dPr>
                <m:sepChr m:val=""/>
              </m:dPr>
              <m:e>
                <m:sSubSup>
                  <m:sSubSupPr/>
                  <m:e>
                    <m:r>
                      <m:rPr/>
                      <m:t>P</m:t>
                    </m:r>
                  </m:e>
                  <m:sub>
                    <m:r>
                      <m:rPr/>
                      <m:t>i</m:t>
                    </m:r>
                  </m:sub>
                  <m:sup>
                    <m:sSub>
                      <m:sSubPr/>
                      <m:e>
                        <m:r>
                          <m:rPr/>
                          <m:t>l</m:t>
                        </m:r>
                      </m:e>
                      <m:sub>
                        <m:r>
                          <m:rPr/>
                          <m:t>K</m:t>
                        </m:r>
                      </m:sub>
                    </m:sSub>
                  </m:sup>
                </m:sSubSup>
              </m:e>
            </m:d>
          </m:e>
        </m:d>
      </m:oMath>
      <w:r>
        <w:t xml:space="preserve"> (5)</w:t>
      </w:r>
    </w:p>
    <w:p w14:paraId="4EE72155">
      <w:pPr>
        <w:spacing w:after="120" w:line="276" w:lineRule="auto"/>
        <w:jc w:val="left"/>
      </w:pPr>
      <w:r>
        <w:rPr>
          <w:rFonts w:ascii="Times New Roman" w:hAnsi="Times New Roman" w:eastAsia="Times New Roman"/>
          <w:b w:val="0"/>
          <w:i w:val="0"/>
          <w:color w:val="000000"/>
          <w:sz w:val="22"/>
        </w:rPr>
        <w:t>The foreground-complement term excludes high-confidence foreground patches, while the uncertainty term prevents ambiguous boundary patches from being confidently assigned. Background CLS tokens are computed analogously to Eq. (4).</w:t>
      </w:r>
    </w:p>
    <w:p w14:paraId="6B9BCA62">
      <w:pPr>
        <w:spacing w:after="120" w:line="276" w:lineRule="auto"/>
        <w:jc w:val="left"/>
        <w:rPr>
          <w:rFonts w:ascii="Times New Roman" w:hAnsi="Times New Roman" w:eastAsia="Times New Roman"/>
          <w:b w:val="0"/>
          <w:i w:val="0"/>
          <w:color w:val="000000"/>
          <w:sz w:val="22"/>
        </w:rPr>
      </w:pPr>
      <w:r>
        <w:rPr>
          <w:rFonts w:ascii="Times New Roman" w:hAnsi="Times New Roman" w:eastAsia="Times New Roman"/>
          <w:b/>
          <w:i w:val="0"/>
          <w:color w:val="000000"/>
          <w:sz w:val="22"/>
        </w:rPr>
        <w:t xml:space="preserve">Independent depth-wise attention. </w:t>
      </w:r>
      <w:r>
        <w:rPr>
          <w:rFonts w:ascii="Times New Roman" w:hAnsi="Times New Roman" w:eastAsia="Times New Roman"/>
          <w:b w:val="0"/>
          <w:i w:val="0"/>
          <w:color w:val="000000"/>
          <w:sz w:val="22"/>
        </w:rPr>
        <w:t>Each stream performs softmax attention over its K-layer CLS sequence using a learned pseudo-query, extending AttnRes's concept to the visual domain:</w:t>
      </w:r>
    </w:p>
    <w:p w14:paraId="717497BF">
      <w:pPr>
        <w:spacing w:after="120" w:line="276" w:lineRule="auto"/>
        <w:jc w:val="left"/>
      </w:pPr>
      <m:oMath>
        <m:sSubSup>
          <m:sSubSupPr/>
          <m:e>
            <m:r>
              <m:rPr/>
              <m:t>β</m:t>
            </m:r>
          </m:e>
          <m:sub>
            <m:r>
              <m:rPr/>
              <m:t>l</m:t>
            </m:r>
          </m:sub>
          <m:sup>
            <m:r>
              <m:rPr/>
              <m:t>F</m:t>
            </m:r>
          </m:sup>
        </m:sSubSup>
        <m:r>
          <m:rPr>
            <m:sty m:val="p"/>
          </m:rPr>
          <m:t>=</m:t>
        </m:r>
        <m:f>
          <m:fPr/>
          <m:num>
            <m:r>
              <m:rPr>
                <m:sty m:val="p"/>
              </m:rPr>
              <m:t>exp</m:t>
            </m:r>
            <m:d>
              <m:dPr>
                <m:sepChr m:val=""/>
              </m:dPr>
              <m:e>
                <m:sSubSup>
                  <m:sSubSupPr/>
                  <m:e>
                    <m:r>
                      <m:rPr/>
                      <m:t>w</m:t>
                    </m:r>
                  </m:e>
                  <m:sub>
                    <m:r>
                      <m:rPr/>
                      <m:t>F</m:t>
                    </m:r>
                  </m:sub>
                  <m:sup>
                    <m:r>
                      <m:rPr>
                        <m:sty m:val="p"/>
                      </m:rPr>
                      <m:t>⊤</m:t>
                    </m:r>
                  </m:sup>
                </m:sSubSup>
                <m:r>
                  <m:rPr/>
                  <m:t>RMSNorm</m:t>
                </m:r>
                <m:d>
                  <m:dPr>
                    <m:sepChr m:val=""/>
                  </m:dPr>
                  <m:e>
                    <m:sSubSup>
                      <m:sSubSupPr/>
                      <m:e>
                        <m:r>
                          <m:rPr/>
                          <m:t>B</m:t>
                        </m:r>
                      </m:e>
                      <m:sub>
                        <m:r>
                          <m:rPr/>
                          <m:t>l</m:t>
                        </m:r>
                      </m:sub>
                      <m:sup>
                        <m:r>
                          <m:rPr/>
                          <m:t>F</m:t>
                        </m:r>
                      </m:sup>
                    </m:sSubSup>
                  </m:e>
                </m:d>
              </m:e>
            </m:d>
          </m:num>
          <m:den>
            <m:nary>
              <m:naryPr>
                <m:chr m:val="∑"/>
                <m:limLoc m:val="undOvr"/>
              </m:naryPr>
              <m:sub>
                <m:r>
                  <m:rPr/>
                  <m:t>j</m:t>
                </m:r>
                <m:r>
                  <m:rPr>
                    <m:sty m:val="p"/>
                  </m:rPr>
                  <m:t>=</m:t>
                </m:r>
                <m:r>
                  <m:rPr/>
                  <m:t>1</m:t>
                </m:r>
              </m:sub>
              <m:sup>
                <m:r>
                  <m:rPr/>
                  <m:t>K</m:t>
                </m:r>
              </m:sup>
              <m:e>
                <m:r>
                  <m:rPr>
                    <m:sty m:val="p"/>
                  </m:rPr>
                  <m:t>exp</m:t>
                </m:r>
              </m:e>
            </m:nary>
            <m:d>
              <m:dPr>
                <m:sepChr m:val=""/>
              </m:dPr>
              <m:e>
                <m:sSubSup>
                  <m:sSubSupPr/>
                  <m:e>
                    <m:r>
                      <m:rPr/>
                      <m:t>w</m:t>
                    </m:r>
                  </m:e>
                  <m:sub>
                    <m:r>
                      <m:rPr/>
                      <m:t>F</m:t>
                    </m:r>
                  </m:sub>
                  <m:sup>
                    <m:r>
                      <m:rPr>
                        <m:sty m:val="p"/>
                      </m:rPr>
                      <m:t>⊤</m:t>
                    </m:r>
                  </m:sup>
                </m:sSubSup>
                <m:r>
                  <m:rPr/>
                  <m:t>RMSNorm</m:t>
                </m:r>
                <m:d>
                  <m:dPr>
                    <m:sepChr m:val=""/>
                  </m:dPr>
                  <m:e>
                    <m:sSubSup>
                      <m:sSubSupPr/>
                      <m:e>
                        <m:r>
                          <m:rPr/>
                          <m:t>B</m:t>
                        </m:r>
                      </m:e>
                      <m:sub>
                        <m:r>
                          <m:rPr/>
                          <m:t>j</m:t>
                        </m:r>
                      </m:sub>
                      <m:sup>
                        <m:r>
                          <m:rPr/>
                          <m:t>F</m:t>
                        </m:r>
                      </m:sup>
                    </m:sSubSup>
                  </m:e>
                </m:d>
              </m:e>
            </m:d>
          </m:den>
        </m:f>
        <m:r>
          <m:rPr>
            <m:sty m:val="p"/>
          </m:rPr>
          <m:t>,</m:t>
        </m:r>
      </m:oMath>
      <w:r>
        <w:t xml:space="preserve"> </w:t>
      </w:r>
      <m:oMath>
        <m:sSub>
          <m:sSubPr/>
          <m:e>
            <m:r>
              <m:rPr/>
              <m:t>C</m:t>
            </m:r>
          </m:e>
          <m:sub>
            <m:r>
              <m:rPr/>
              <m:t>F</m:t>
            </m:r>
          </m:sub>
        </m:sSub>
        <m:r>
          <m:rPr>
            <m:sty m:val="p"/>
          </m:rPr>
          <m:t>=</m:t>
        </m:r>
        <m:nary>
          <m:naryPr>
            <m:chr m:val="∑"/>
            <m:limLoc m:val="undOvr"/>
          </m:naryPr>
          <m:sub>
            <m:r>
              <m:rPr/>
              <m:t>l</m:t>
            </m:r>
            <m:r>
              <m:rPr>
                <m:sty m:val="p"/>
              </m:rPr>
              <m:t>=</m:t>
            </m:r>
            <m:r>
              <m:rPr/>
              <m:t>1</m:t>
            </m:r>
          </m:sub>
          <m:sup>
            <m:r>
              <m:rPr/>
              <m:t>K</m:t>
            </m:r>
          </m:sup>
          <m:e>
            <m:sSubSup>
              <m:sSubSupPr/>
              <m:e>
                <m:r>
                  <m:rPr/>
                  <m:t>β</m:t>
                </m:r>
              </m:e>
              <m:sub>
                <m:r>
                  <m:rPr/>
                  <m:t>l</m:t>
                </m:r>
              </m:sub>
              <m:sup>
                <m:r>
                  <m:rPr/>
                  <m:t>F</m:t>
                </m:r>
              </m:sup>
            </m:sSubSup>
          </m:e>
        </m:nary>
        <m:sSubSup>
          <m:sSubSupPr/>
          <m:e>
            <m:r>
              <m:rPr/>
              <m:t>B</m:t>
            </m:r>
          </m:e>
          <m:sub>
            <m:r>
              <m:rPr/>
              <m:t>l</m:t>
            </m:r>
          </m:sub>
          <m:sup>
            <m:r>
              <m:rPr/>
              <m:t>F</m:t>
            </m:r>
          </m:sup>
        </m:sSubSup>
      </m:oMath>
      <w:r>
        <w:t xml:space="preserve"> (6)</w:t>
      </w:r>
    </w:p>
    <w:p w14:paraId="186A92B9">
      <w:pPr>
        <w:spacing w:after="120" w:line="276" w:lineRule="auto"/>
        <w:jc w:val="left"/>
      </w:pPr>
      <w:r>
        <w:rPr>
          <w:rFonts w:ascii="Times New Roman" w:hAnsi="Times New Roman" w:eastAsia="Times New Roman"/>
          <w:b w:val="0"/>
          <w:i w:val="0"/>
          <w:color w:val="000000"/>
          <w:sz w:val="22"/>
        </w:rPr>
        <w:t>Here the foreground pseudo-query is initialized to zero, yielding uniform 1/K weights initially and matching standard average pooling. The background stream uses its own pseudo-query, producing a background representation and background depth weights. RMSNorm on keys prevents layers with large activation magnitudes from dominating. As validated in Section IV-C, sharing a single depth attention across streams rather than using independent ones reduces PiB from 45% to 28%, confirming that each stream requires distinct depth aggregation patterns.</w:t>
      </w:r>
    </w:p>
    <w:p w14:paraId="7186BB5B">
      <w:pPr>
        <w:spacing w:after="120" w:line="276" w:lineRule="auto"/>
        <w:jc w:val="left"/>
        <w:rPr>
          <w:rFonts w:ascii="Times New Roman" w:hAnsi="Times New Roman" w:eastAsia="Times New Roman"/>
          <w:b w:val="0"/>
          <w:i w:val="0"/>
          <w:color w:val="000000"/>
          <w:sz w:val="22"/>
        </w:rPr>
      </w:pPr>
      <w:r>
        <w:rPr>
          <w:rFonts w:ascii="Times New Roman" w:hAnsi="Times New Roman" w:eastAsia="Times New Roman"/>
          <w:b/>
          <w:i w:val="0"/>
          <w:color w:val="000000"/>
          <w:sz w:val="22"/>
        </w:rPr>
        <w:t xml:space="preserve">Task-adaptive fusion. </w:t>
      </w:r>
      <w:r>
        <w:rPr>
          <w:rFonts w:ascii="Times New Roman" w:hAnsi="Times New Roman" w:eastAsia="Times New Roman"/>
          <w:b w:val="0"/>
          <w:i w:val="0"/>
          <w:color w:val="000000"/>
          <w:sz w:val="22"/>
        </w:rPr>
        <w:t>The final representation is produced by a learned gate:</w:t>
      </w:r>
    </w:p>
    <w:p w14:paraId="4570A355">
      <w:pPr>
        <w:pStyle w:val="13"/>
      </w:pPr>
      <m:oMath>
        <m:r>
          <m:rPr/>
          <m:t>g</m:t>
        </m:r>
        <m:r>
          <m:rPr>
            <m:sty m:val="p"/>
          </m:rPr>
          <m:t>=</m:t>
        </m:r>
        <m:r>
          <m:rPr/>
          <m:t>σ</m:t>
        </m:r>
        <m:d>
          <m:dPr>
            <m:sepChr m:val=""/>
          </m:dPr>
          <m:e>
            <m:sSub>
              <m:sSubPr/>
              <m:e>
                <m:r>
                  <m:rPr/>
                  <m:t>MLP</m:t>
                </m:r>
              </m:e>
              <m:sub>
                <m:r>
                  <m:rPr/>
                  <m:t>g</m:t>
                </m:r>
              </m:sub>
            </m:sSub>
            <m:d>
              <m:dPr>
                <m:sepChr m:val=""/>
              </m:dPr>
              <m:e>
                <m:d>
                  <m:dPr>
                    <m:begChr m:val="["/>
                    <m:sepChr m:val=""/>
                    <m:endChr m:val="]"/>
                  </m:dPr>
                  <m:e>
                    <m:sSub>
                      <m:sSubPr/>
                      <m:e>
                        <m:r>
                          <m:rPr/>
                          <m:t>C</m:t>
                        </m:r>
                      </m:e>
                      <m:sub>
                        <m:r>
                          <m:rPr/>
                          <m:t>F</m:t>
                        </m:r>
                      </m:sub>
                    </m:sSub>
                    <m:r>
                      <m:rPr>
                        <m:sty m:val="p"/>
                      </m:rPr>
                      <m:t>;</m:t>
                    </m:r>
                    <m:sSub>
                      <m:sSubPr/>
                      <m:e>
                        <m:r>
                          <m:rPr/>
                          <m:t>C</m:t>
                        </m:r>
                      </m:e>
                      <m:sub>
                        <m:r>
                          <m:rPr/>
                          <m:t>B</m:t>
                        </m:r>
                      </m:sub>
                    </m:sSub>
                    <m:r>
                      <m:rPr>
                        <m:sty m:val="p"/>
                      </m:rPr>
                      <m:t>;</m:t>
                    </m:r>
                    <m:sSub>
                      <m:sSubPr/>
                      <m:e>
                        <m:r>
                          <m:rPr/>
                          <m:t>c</m:t>
                        </m:r>
                      </m:e>
                      <m:sub>
                        <m:r>
                          <m:rPr/>
                          <m:t>cls</m:t>
                        </m:r>
                      </m:sub>
                    </m:sSub>
                  </m:e>
                </m:d>
              </m:e>
            </m:d>
          </m:e>
        </m:d>
        <m:r>
          <m:rPr>
            <m:sty m:val="p"/>
          </m:rPr>
          <m:t>,</m:t>
        </m:r>
        <m:r>
          <m:rPr/>
          <m:t> C</m:t>
        </m:r>
        <m:r>
          <m:rPr>
            <m:sty m:val="p"/>
          </m:rPr>
          <m:t>=</m:t>
        </m:r>
        <m:r>
          <m:rPr/>
          <m:t>g</m:t>
        </m:r>
        <m:r>
          <m:rPr>
            <m:sty m:val="p"/>
          </m:rPr>
          <m:t>⋅</m:t>
        </m:r>
        <m:sSub>
          <m:sSubPr/>
          <m:e>
            <m:r>
              <m:rPr/>
              <m:t>C</m:t>
            </m:r>
          </m:e>
          <m:sub>
            <m:r>
              <m:rPr/>
              <m:t>F</m:t>
            </m:r>
          </m:sub>
        </m:sSub>
        <m:r>
          <m:rPr>
            <m:sty m:val="p"/>
          </m:rPr>
          <m:t>+</m:t>
        </m:r>
        <m:d>
          <m:dPr>
            <m:sepChr m:val=""/>
          </m:dPr>
          <m:e>
            <m:r>
              <m:rPr/>
              <m:t>1</m:t>
            </m:r>
            <m:r>
              <m:rPr>
                <m:sty m:val="p"/>
              </m:rPr>
              <m:t>−</m:t>
            </m:r>
            <m:r>
              <m:rPr/>
              <m:t>g</m:t>
            </m:r>
          </m:e>
        </m:d>
        <m:r>
          <m:rPr>
            <m:sty m:val="p"/>
          </m:rPr>
          <m:t>⋅</m:t>
        </m:r>
        <m:sSub>
          <m:sSubPr/>
          <m:e>
            <m:r>
              <m:rPr/>
              <m:t>C</m:t>
            </m:r>
          </m:e>
          <m:sub>
            <m:r>
              <m:rPr/>
              <m:t>B</m:t>
            </m:r>
          </m:sub>
        </m:sSub>
      </m:oMath>
      <w:r>
        <w:t xml:space="preserve"> (7)</w:t>
      </w:r>
    </w:p>
    <w:p w14:paraId="74911E12">
      <w:pPr>
        <w:spacing w:after="120" w:line="276" w:lineRule="auto"/>
        <w:jc w:val="left"/>
        <w:rPr>
          <w:rFonts w:hint="eastAsia" w:eastAsia="宋体"/>
          <w:lang w:val="en-US" w:eastAsia="zh-CN"/>
        </w:rPr>
      </w:pPr>
      <w:r>
        <w:rPr>
          <w:rFonts w:ascii="Times New Roman" w:hAnsi="Times New Roman" w:eastAsia="Times New Roman"/>
          <w:b w:val="0"/>
          <w:i w:val="0"/>
          <w:color w:val="000000"/>
          <w:sz w:val="22"/>
        </w:rPr>
        <w:t>The gate takes all three representations as input, enabling task-specific weighting: object discovery tasks, where foreground is primary, may learn g→1, while classification tasks, where scene context aids recognition, may learn a more balanced value.</w:t>
      </w:r>
      <w:r>
        <w:rPr>
          <w:rFonts w:hint="eastAsia" w:eastAsia="宋体"/>
          <w:b w:val="0"/>
          <w:i w:val="0"/>
          <w:color w:val="000000"/>
          <w:sz w:val="22"/>
          <w:lang w:val="en-US" w:eastAsia="zh-CN"/>
        </w:rPr>
        <w:t xml:space="preserve"> </w:t>
      </w:r>
      <w:bookmarkStart w:id="0" w:name="_GoBack"/>
      <w:bookmarkEnd w:id="0"/>
    </w:p>
    <w:p w14:paraId="3D866BAA"/>
    <w:sectPr>
      <w:pgSz w:w="12240" w:h="15840"/>
      <w:pgMar w:top="1080" w:right="1224" w:bottom="1080" w:left="1224" w:header="720" w:footer="720" w:gutter="0"/>
      <w:cols w:space="720" w:num="1"/>
      <w:docGrid w:linePitch="360"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D0A4F"/>
    <w:rsid w:val="00347BDB"/>
    <w:rsid w:val="01A9632F"/>
    <w:rsid w:val="01E360A7"/>
    <w:rsid w:val="037B0103"/>
    <w:rsid w:val="039805C7"/>
    <w:rsid w:val="0399532B"/>
    <w:rsid w:val="03CF6F0E"/>
    <w:rsid w:val="04F62E30"/>
    <w:rsid w:val="04FB3AA9"/>
    <w:rsid w:val="05FF5014"/>
    <w:rsid w:val="07DA314D"/>
    <w:rsid w:val="082658A4"/>
    <w:rsid w:val="08BD5FF9"/>
    <w:rsid w:val="090E6AB6"/>
    <w:rsid w:val="0A701077"/>
    <w:rsid w:val="0AF33435"/>
    <w:rsid w:val="0B0F51ED"/>
    <w:rsid w:val="0BB43D45"/>
    <w:rsid w:val="0BF222C8"/>
    <w:rsid w:val="0C3558BA"/>
    <w:rsid w:val="0D2E2BDA"/>
    <w:rsid w:val="0D512831"/>
    <w:rsid w:val="104A0BB3"/>
    <w:rsid w:val="111921EA"/>
    <w:rsid w:val="126E58D4"/>
    <w:rsid w:val="12AD0AE8"/>
    <w:rsid w:val="12FA1E07"/>
    <w:rsid w:val="13452E52"/>
    <w:rsid w:val="13830538"/>
    <w:rsid w:val="14323357"/>
    <w:rsid w:val="147E7CDA"/>
    <w:rsid w:val="15D469FE"/>
    <w:rsid w:val="172F13BB"/>
    <w:rsid w:val="1791163B"/>
    <w:rsid w:val="18207F2E"/>
    <w:rsid w:val="19064C6C"/>
    <w:rsid w:val="1936636E"/>
    <w:rsid w:val="1A424B3D"/>
    <w:rsid w:val="1A57517C"/>
    <w:rsid w:val="1ADF7664"/>
    <w:rsid w:val="1B2F5B48"/>
    <w:rsid w:val="1BE37C5A"/>
    <w:rsid w:val="1CF92E79"/>
    <w:rsid w:val="1D0A3756"/>
    <w:rsid w:val="1D5C2CE1"/>
    <w:rsid w:val="1DB51403"/>
    <w:rsid w:val="1E004E74"/>
    <w:rsid w:val="1E877B1F"/>
    <w:rsid w:val="1ED03DDD"/>
    <w:rsid w:val="1ED42E87"/>
    <w:rsid w:val="1F307F51"/>
    <w:rsid w:val="21D84004"/>
    <w:rsid w:val="223613C5"/>
    <w:rsid w:val="22FB2B87"/>
    <w:rsid w:val="244B45EE"/>
    <w:rsid w:val="245D1DDC"/>
    <w:rsid w:val="24A12D90"/>
    <w:rsid w:val="24CE74A8"/>
    <w:rsid w:val="24DA5582"/>
    <w:rsid w:val="252B06D3"/>
    <w:rsid w:val="261D40B5"/>
    <w:rsid w:val="268A0205"/>
    <w:rsid w:val="26D43AAB"/>
    <w:rsid w:val="26E8154E"/>
    <w:rsid w:val="27992472"/>
    <w:rsid w:val="2A0A6763"/>
    <w:rsid w:val="2A7D6645"/>
    <w:rsid w:val="2B5818C2"/>
    <w:rsid w:val="2BAC7BFB"/>
    <w:rsid w:val="2BC33526"/>
    <w:rsid w:val="2C7262AD"/>
    <w:rsid w:val="2CD51841"/>
    <w:rsid w:val="2D336E93"/>
    <w:rsid w:val="2DCB7EF8"/>
    <w:rsid w:val="2DE03FF9"/>
    <w:rsid w:val="2E967AF4"/>
    <w:rsid w:val="30055365"/>
    <w:rsid w:val="30422009"/>
    <w:rsid w:val="31AA17B2"/>
    <w:rsid w:val="31EC619B"/>
    <w:rsid w:val="33046BC9"/>
    <w:rsid w:val="333935A7"/>
    <w:rsid w:val="33936B82"/>
    <w:rsid w:val="34BC4528"/>
    <w:rsid w:val="34FD01C1"/>
    <w:rsid w:val="35900A44"/>
    <w:rsid w:val="35997A02"/>
    <w:rsid w:val="387A57F6"/>
    <w:rsid w:val="3965126B"/>
    <w:rsid w:val="39B71976"/>
    <w:rsid w:val="3A2E16F1"/>
    <w:rsid w:val="3B5C4405"/>
    <w:rsid w:val="3B837E6F"/>
    <w:rsid w:val="3CF4186F"/>
    <w:rsid w:val="3E752133"/>
    <w:rsid w:val="40115F08"/>
    <w:rsid w:val="40247A02"/>
    <w:rsid w:val="42F51D2B"/>
    <w:rsid w:val="43881AF8"/>
    <w:rsid w:val="438D3438"/>
    <w:rsid w:val="443E2D08"/>
    <w:rsid w:val="447B169D"/>
    <w:rsid w:val="45A12EC7"/>
    <w:rsid w:val="45A24A3D"/>
    <w:rsid w:val="460D04BA"/>
    <w:rsid w:val="463D5176"/>
    <w:rsid w:val="46A119AA"/>
    <w:rsid w:val="4728639F"/>
    <w:rsid w:val="47AF7EBF"/>
    <w:rsid w:val="48540541"/>
    <w:rsid w:val="48911033"/>
    <w:rsid w:val="489E328D"/>
    <w:rsid w:val="48F45FD0"/>
    <w:rsid w:val="494B080E"/>
    <w:rsid w:val="498028F2"/>
    <w:rsid w:val="4B3B68BB"/>
    <w:rsid w:val="4CB031DA"/>
    <w:rsid w:val="4D1C705C"/>
    <w:rsid w:val="4DDF081B"/>
    <w:rsid w:val="4DF35EB9"/>
    <w:rsid w:val="4E2469EB"/>
    <w:rsid w:val="4E6F05B2"/>
    <w:rsid w:val="4EC66D8E"/>
    <w:rsid w:val="4EEA1AD9"/>
    <w:rsid w:val="4F02503B"/>
    <w:rsid w:val="4F5A0499"/>
    <w:rsid w:val="4F6028CE"/>
    <w:rsid w:val="50325D21"/>
    <w:rsid w:val="50674613"/>
    <w:rsid w:val="50771B5E"/>
    <w:rsid w:val="519108A5"/>
    <w:rsid w:val="51E36E64"/>
    <w:rsid w:val="52E65221"/>
    <w:rsid w:val="56205F83"/>
    <w:rsid w:val="564F21FC"/>
    <w:rsid w:val="576E4918"/>
    <w:rsid w:val="58371758"/>
    <w:rsid w:val="583813E5"/>
    <w:rsid w:val="5A811A11"/>
    <w:rsid w:val="5A867E39"/>
    <w:rsid w:val="5A9F2599"/>
    <w:rsid w:val="5B3C1155"/>
    <w:rsid w:val="5B5C7058"/>
    <w:rsid w:val="5CAB4ECB"/>
    <w:rsid w:val="5F1F24D7"/>
    <w:rsid w:val="60EE0200"/>
    <w:rsid w:val="61030EA5"/>
    <w:rsid w:val="61D57FB3"/>
    <w:rsid w:val="62F87FB3"/>
    <w:rsid w:val="643369DC"/>
    <w:rsid w:val="644135C0"/>
    <w:rsid w:val="649E6CE4"/>
    <w:rsid w:val="652E29A5"/>
    <w:rsid w:val="65DE03FB"/>
    <w:rsid w:val="66E04A8F"/>
    <w:rsid w:val="67222094"/>
    <w:rsid w:val="69186271"/>
    <w:rsid w:val="69356566"/>
    <w:rsid w:val="698D7BC0"/>
    <w:rsid w:val="69A10FFB"/>
    <w:rsid w:val="6A384ADA"/>
    <w:rsid w:val="6B2B4E03"/>
    <w:rsid w:val="6C076004"/>
    <w:rsid w:val="6C8F1D13"/>
    <w:rsid w:val="6D435152"/>
    <w:rsid w:val="6DC2475E"/>
    <w:rsid w:val="6DDF641F"/>
    <w:rsid w:val="6DF77042"/>
    <w:rsid w:val="6E5E4F55"/>
    <w:rsid w:val="6EBF7F00"/>
    <w:rsid w:val="6ECE1AB1"/>
    <w:rsid w:val="6ED524EF"/>
    <w:rsid w:val="6F181752"/>
    <w:rsid w:val="6F633050"/>
    <w:rsid w:val="70124526"/>
    <w:rsid w:val="70784C72"/>
    <w:rsid w:val="70A07186"/>
    <w:rsid w:val="71915DBC"/>
    <w:rsid w:val="71FE4A3D"/>
    <w:rsid w:val="728446F2"/>
    <w:rsid w:val="729C3F60"/>
    <w:rsid w:val="7426410F"/>
    <w:rsid w:val="74FD2F8F"/>
    <w:rsid w:val="753A4AE1"/>
    <w:rsid w:val="755469EE"/>
    <w:rsid w:val="76610CFB"/>
    <w:rsid w:val="76CE675E"/>
    <w:rsid w:val="7733338B"/>
    <w:rsid w:val="781A5E54"/>
    <w:rsid w:val="7C34419D"/>
    <w:rsid w:val="7C80044E"/>
    <w:rsid w:val="7D365336"/>
    <w:rsid w:val="7D6663F4"/>
    <w:rsid w:val="7DF11D8A"/>
    <w:rsid w:val="7EC9742A"/>
    <w:rsid w:val="7EE63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heme="minorBidi"/>
      <w:color w:val="000000"/>
      <w:sz w:val="22"/>
      <w:szCs w:val="22"/>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Code"/>
    <w:basedOn w:val="9"/>
    <w:uiPriority w:val="0"/>
    <w:rPr>
      <w:rFonts w:ascii="Courier New" w:hAnsi="Courier New"/>
      <w:sz w:val="20"/>
    </w:rPr>
  </w:style>
  <w:style w:type="paragraph" w:customStyle="1" w:styleId="13">
    <w:name w:val="First Paragraph"/>
    <w:basedOn w:val="5"/>
    <w:next w:val="5"/>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2025-08-31T15:50:00Z</dcterms:created>
  <dc:creator>32488</dc:creator>
  <cp:lastModifiedBy>张峻祎</cp:lastModifiedBy>
  <dcterms:modified xsi:type="dcterms:W3CDTF">2026-05-26T15:11:40Z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2666CFFD577044B080259E0171162EF2_12</vt:lpwstr>
  </property>
  <property fmtid="{D5CDD505-2E9C-101B-9397-08002B2CF9AE}" pid="4" name="KSOTemplateDocerSaveRecord">
    <vt:lpwstr>eyJoZGlkIjoiNmE5ZTgzYTRmMmFkOTRkZTEyOTIzNjQ3N2E0NThiN2IiLCJ1c2VySWQiOiIxNjIyMjU0MTA1In0=</vt:lpwstr>
  </property>
</Properties>
</file>