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72B71">
      <w:pPr>
        <w:pStyle w:val="2"/>
        <w:keepNext w:val="0"/>
        <w:keepLines w:val="0"/>
        <w:widowControl/>
        <w:suppressLineNumbers w:val="0"/>
      </w:pPr>
      <w:r>
        <w:t>II. 相关工作</w:t>
      </w:r>
    </w:p>
    <w:p w14:paraId="34848625">
      <w:pPr>
        <w:pStyle w:val="3"/>
        <w:keepNext w:val="0"/>
        <w:keepLines w:val="0"/>
        <w:widowControl/>
        <w:suppressLineNumbers w:val="0"/>
      </w:pPr>
      <w:r>
        <w:t xml:space="preserve">Vision Transformer（ViT）[1] 在模型中引入了一个可学习的 </w:t>
      </w:r>
      <w:r>
        <w:rPr>
          <w:rStyle w:val="6"/>
        </w:rPr>
        <w:t>[CLS]</w:t>
      </w:r>
      <w:r>
        <w:t xml:space="preserve"> token，该 token 通过全局自注意力机制从所有 patch token 中聚合信息，并最终生成图像级表征。尽管这种方式在分类任务中表现有效，但默认的聚合机制存在一种系统性偏差：在图像级监督下，</w:t>
      </w:r>
      <w:r>
        <w:rPr>
          <w:rStyle w:val="6"/>
        </w:rPr>
        <w:t>[CLS]</w:t>
      </w:r>
      <w:r>
        <w:t xml:space="preserve"> token 更倾向于从背景 patch 中聚合信息，而不是从语义更丰富的前景区域中聚合信息。这是因为背景 patch 数量更多，并且能够通过全局注意力吸收部分前景信息 [2]。这种现象被称为 Lazy Aggregation，它会削弱特征的密集表征能力，使得 Point-in-Box（PiB）定位精度仅达到 19%–48%，明显低于卷积神经网络的 60%–80% [2]。</w:t>
      </w:r>
    </w:p>
    <w:p w14:paraId="3ED3E04E">
      <w:pPr>
        <w:pStyle w:val="3"/>
        <w:keepNext w:val="0"/>
        <w:keepLines w:val="0"/>
        <w:widowControl/>
        <w:suppressLineNumbers w:val="0"/>
      </w:pPr>
      <w:r>
        <w:t>为了解决 Lazy Aggregation 在空间维度上的问题，Shi 等人 [2] 提出了 LaSt-ViT，该方法基于频谱稳定性选择 patch。具体而言，对于每个 patch 特征，LaSt-ViT 沿通道维度计算一维快速傅里叶变换（FFT），随后施加一个高斯低通滤波器：</w:t>
      </w:r>
    </w:p>
    <w:p w14:paraId="33CD22A0">
      <w:pPr>
        <w:pStyle w:val="3"/>
        <w:keepNext w:val="0"/>
        <w:keepLines w:val="0"/>
        <w:widowControl/>
        <w:suppressLineNumbers w:val="0"/>
      </w:pPr>
      <m:oMath>
        <m:r>
          <m:rPr/>
          <m:t>G</m:t>
        </m:r>
        <m:d>
          <m:dPr>
            <m:sepChr m:val=""/>
          </m:dPr>
          <m:e>
            <m:sSub>
              <m:sSubPr/>
              <m:e>
                <m:r>
                  <m:rPr/>
                  <m:t>σ</m:t>
                </m:r>
              </m:e>
              <m:sub>
                <m:r>
                  <m:rPr/>
                  <m:t>f</m:t>
                </m:r>
              </m:sub>
            </m:sSub>
          </m:e>
        </m:d>
        <m:r>
          <m:rPr>
            <m:sty m:val="p"/>
          </m:rPr>
          <m:t>=exp</m:t>
        </m:r>
        <m:d>
          <m:dPr>
            <m:sepChr m:val=""/>
          </m:dPr>
          <m:e>
            <m:r>
              <m:rPr>
                <m:sty m:val="p"/>
              </m:rPr>
              <m:t>−</m:t>
            </m:r>
            <m:f>
              <m:fPr/>
              <m:num>
                <m:sSup>
                  <m:sSupPr/>
                  <m:e>
                    <m:r>
                      <m:rPr/>
                      <m:t>f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r>
                  <m:rPr/>
                  <m:t>2</m:t>
                </m:r>
                <m:sSubSup>
                  <m:sSubSupPr/>
                  <m:e>
                    <m:r>
                      <m:rPr/>
                      <m:t>σ</m:t>
                    </m:r>
                  </m:e>
                  <m:sub>
                    <m:r>
                      <m:rPr/>
                      <m:t>f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den>
            </m:f>
          </m:e>
        </m:d>
      </m:oMath>
      <w:r>
        <w:t>并通过衡量滤波前后特征变化的大小来判断该 patch 的稳定性。其核心直觉是，前景目标通常具有更加稳定的低频通道激活。随后，方法选取稳定性最高的 top-(K) 个 patch，并对它们进行平均，得到最终的聚合表征。LaSt-ViT 能够消除高范数背景伪影，并在使用 CLIP ViT-B/16 的 ADE20K 零样本分割任务上带来 +1.3 mIoU 的提升。</w:t>
      </w:r>
    </w:p>
    <w:p w14:paraId="7CA239D5">
      <w:pPr>
        <w:pStyle w:val="3"/>
        <w:keepNext w:val="0"/>
        <w:keepLines w:val="0"/>
        <w:widowControl/>
        <w:suppressLineNumbers w:val="0"/>
      </w:pPr>
      <w:r>
        <w:t>然而，该方法仍然存在三个具体限制。首先，频率稳定性是其唯一的前景判断依据，这会导致平滑的前景目标与平滑的背景区域被混淆。例如，白天鹅这类平滑前景与天空、墙面等平滑背景，在经过 FFT、滤波以及 IFFT 处理后，都可能产生相似的低频激活。因此，在这类图像上，该稳定背景失效模式会使前景掩码的 IoU 在我们的实验中下降至 13%。其次，固定的 top-(K) 比例，通常为 30% 的 patch，会对所有图像施加相同的前景预算，而不考虑图像内容本身的差异。单个小目标可能只占据不到 10% 的 patch，而多目标场景中的前景区域可能超过 50%，但二者仍然被分配相同的 (K)。第三，LaSt-ViT 仅在最后一层特征上运行，忽略了较早层中编码的空间信息，而这些较早层通常包含更清晰的目</w:t>
      </w:r>
      <w:bookmarkStart w:id="0" w:name="_GoBack"/>
      <w:bookmarkEnd w:id="0"/>
      <w:r>
        <w:t>标边界。上述限制，即单一线索、固定预算和单层选择，共同构成了本文方法所要弥补的空间选择缺口。</w:t>
      </w:r>
    </w:p>
    <w:p w14:paraId="5F2E8873">
      <w:pPr>
        <w:pStyle w:val="3"/>
        <w:keepNext w:val="0"/>
        <w:keepLines w:val="0"/>
        <w:widowControl/>
        <w:suppressLineNumbers w:val="0"/>
      </w:pPr>
      <w:r>
        <w:t>除了空间维度之外，</w:t>
      </w:r>
      <w:r>
        <w:rPr>
          <w:rStyle w:val="6"/>
        </w:rPr>
        <w:t>[CLS]</w:t>
      </w:r>
      <w:r>
        <w:t xml:space="preserve"> 聚合在深度维度上也存在一个互补性问题。在 PreNorm Transformer 中，将残差连接展开：</w:t>
      </w:r>
      <m:oMath>
        <m:sSub>
          <m:sSubPr/>
          <m:e>
            <m:r>
              <m:rPr/>
              <m:t>h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h</m:t>
            </m:r>
          </m:e>
          <m:sub>
            <m:r>
              <m:rPr/>
              <m:t>l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f</m:t>
            </m:r>
          </m:e>
          <m:sub>
            <m:r>
              <m:rPr/>
              <m:t>l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h</m:t>
                </m:r>
              </m:e>
              <m:sub>
                <m:r>
                  <m:rPr/>
                  <m:t>l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sub>
            </m:sSub>
          </m:e>
        </m:d>
      </m:oMath>
      <w:r>
        <w:rPr>
          <w:rFonts w:hint="eastAsia"/>
          <w:i w:val="0"/>
          <w:lang w:eastAsia="zh-CN"/>
        </w:rPr>
        <w:t>，</w:t>
      </w:r>
      <w:r>
        <w:t>可以发现，每一层的输入实际上都是此前所有层输出的均匀累加。随着网络深度增加，单个层的贡献会逐渐被稀释，这一现象被称为 PreNorm dilution [3]。Attention Residuals（AttnRes）[4] 将这一过程重新理解为一种深度注意力机制：</w:t>
      </w:r>
      <m:oMath>
        <m:sSub>
          <m:sSubPr/>
          <m:e>
            <m:r>
              <m:rPr/>
              <m:t>h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</m:sub>
          <m:sup>
            <m:r>
              <m:rPr/>
              <m:t>​</m:t>
            </m:r>
          </m:sup>
          <m:e>
            <m:sSub>
              <m:sSubPr/>
              <m:e>
                <m:r>
                  <m:rPr/>
                  <m:t>α</m:t>
                </m:r>
              </m:e>
              <m:sub>
                <m:r>
                  <m:rPr/>
                  <m:t>i</m:t>
                </m:r>
                <m:r>
                  <m:rPr>
                    <m:sty m:val="p"/>
                  </m:rPr>
                  <m:t>→</m:t>
                </m:r>
                <m:r>
                  <m:rPr/>
                  <m:t>l</m:t>
                </m:r>
              </m:sub>
            </m:sSub>
          </m:e>
        </m:nary>
        <m:r>
          <m:rPr>
            <m:sty m:val="p"/>
          </m:rPr>
          <m:t>⋅</m:t>
        </m:r>
        <m:sSub>
          <m:sSubPr/>
          <m:e>
            <m:r>
              <m:rPr/>
              <m:t>v</m:t>
            </m:r>
          </m:e>
          <m:sub>
            <m:r>
              <m:rPr/>
              <m:t>i</m:t>
            </m:r>
          </m:sub>
        </m:sSub>
      </m:oMath>
      <w:r>
        <w:t xml:space="preserve">其中，注意力权重 </w:t>
      </w:r>
      <m:oMath>
        <m:sSub>
          <m:sSubPr/>
          <m:e>
            <m:r>
              <m:rPr/>
              <m:t>α</m:t>
            </m:r>
          </m:e>
          <m:sub>
            <m:r>
              <m:rPr/>
              <m:t>i</m:t>
            </m:r>
            <m:r>
              <m:rPr>
                <m:sty m:val="p"/>
              </m:rPr>
              <m:t>→</m:t>
            </m:r>
            <m:r>
              <m:rPr/>
              <m:t>l</m:t>
            </m:r>
          </m:sub>
        </m:sSub>
      </m:oMath>
      <w:r>
        <w:t xml:space="preserve"> 是通过学习得到的伪查询向量与经过 RMSNorm 处理的历史输出进行匹配，并经过 softmax 计算得到的。该机制能够实现依赖内容的深度选择，同时只引入 </w:t>
      </w:r>
      <w:r>
        <w:rPr>
          <w:rFonts w:hint="eastAsia"/>
          <w:lang w:val="en-US" w:eastAsia="zh-CN"/>
        </w:rPr>
        <w:t>d</w:t>
      </w:r>
      <w:r>
        <w:t xml:space="preserve"> 维向量作为额外参数。AttnRes 在语言建模基准测试中实现了 </w:t>
      </w:r>
      <m:oMath>
        <m:r>
          <m:rPr/>
          <m:t>1.25</m:t>
        </m:r>
        <m:r>
          <m:rPr>
            <m:sty m:val="p"/>
          </m:rPr>
          <m:t>×</m:t>
        </m:r>
      </m:oMath>
      <w:r>
        <w:t xml:space="preserve"> 的计算效率提升，并消除了隐藏状态幅值随深度单调增长的问题。</w:t>
      </w:r>
    </w:p>
    <w:p w14:paraId="57DA8D9B">
      <w:pPr>
        <w:pStyle w:val="3"/>
        <w:keepNext w:val="0"/>
        <w:keepLines w:val="0"/>
        <w:widowControl/>
        <w:suppressLineNumbers w:val="0"/>
      </w:pPr>
      <w:r>
        <w:t>然而，AttnRes 对所有 token 统一采用同一种聚合机制。在 Vision Transformer 中，前景信息和背景信息所需要的最优深度聚合模式本质上是不同的：前景目标更依赖后层特征，因为后层通常编码语义身份信息；而背景上下文则更多依赖早期层特征，因为早期层保留了空间布局和纹理信息。这种异质性表明，将深度注意力与前景—背景流分离相结合，可能相比统一的深度聚合机制带来更显著的性能提升。</w:t>
      </w:r>
    </w:p>
    <w:p w14:paraId="392489FF">
      <w:pPr>
        <w:pStyle w:val="3"/>
        <w:keepNext w:val="0"/>
        <w:keepLines w:val="0"/>
        <w:widowControl/>
        <w:suppressLineNumbers w:val="0"/>
      </w:pPr>
      <w:r>
        <w:t xml:space="preserve">第三类相关工作是在 </w:t>
      </w:r>
      <w:r>
        <w:rPr>
          <w:rStyle w:val="6"/>
        </w:rPr>
        <w:t>[CLS]</w:t>
      </w:r>
      <w:r>
        <w:t xml:space="preserve"> 聚合已经完成之后再提取前景信息，而不直接修改聚合过程本身。Class Activation Mapping（CAM）[5] 通过分类器梯度对激活图进行加权，从而生成定位热力图，但它继承了底层分类器本身的背景偏差。在我们的评估中，CAM 仅取得 21%–25% 的 PiB，这是因为带有偏差的 </w:t>
      </w:r>
      <w:r>
        <w:rPr>
          <w:rStyle w:val="6"/>
        </w:rPr>
        <w:t>[CLS]</w:t>
      </w:r>
      <w:r>
        <w:t xml:space="preserve"> 表征会直接参与热力图计算。DINO-seg [6] 从自监督 ViT 中提取自注意力图，能够产生空间上更加连贯的响应图，但仍然存在背景激活问题，因此需要 PCA 聚类、阈值化等后处理启发式方法。TokenCut [7] 则在 patch 特征之间构建自相似图，并利用 normalized cuts 对前景 token 进行划分，虽然在目标发现任务中表现较强，但其图构建过程会带来</w:t>
      </w:r>
      <m:oMath>
        <m:r>
          <m:rPr/>
          <m:t>O</m:t>
        </m:r>
        <m:d>
          <m:dPr>
            <m:sepChr m:val=""/>
          </m:dPr>
          <m:e>
            <m:sSup>
              <m:sSupPr/>
              <m:e>
                <m:r>
                  <m:rPr/>
                  <m:t>N</m:t>
                </m:r>
              </m:e>
              <m:sup>
                <m:r>
                  <m:rPr/>
                  <m:t>2</m:t>
                </m:r>
              </m:sup>
            </m:sSup>
          </m:e>
        </m:d>
      </m:oMath>
      <w:r>
        <w:t>的计算开销。</w:t>
      </w:r>
    </w:p>
    <w:p w14:paraId="1C1785B4">
      <w:pPr>
        <w:pStyle w:val="3"/>
        <w:keepNext w:val="0"/>
        <w:keepLines w:val="0"/>
        <w:widowControl/>
        <w:suppressLineNumbers w:val="0"/>
      </w:pPr>
      <w:r>
        <w:t xml:space="preserve">这些方法的共同根本限制在于，它们都是在带偏差的聚合结果之后进行前景提取。换言之，当这些方法开始提取前景信息时，背景信息已经污染了 </w:t>
      </w:r>
      <w:r>
        <w:rPr>
          <w:rStyle w:val="6"/>
        </w:rPr>
        <w:t>[CLS]</w:t>
      </w:r>
      <w:r>
        <w:t xml:space="preserve"> 表征。因此，相比于对输出结果进行后处理，直接修正聚合机制本身是一条更具原则性的路径，有助于提升密集特征质量。</w:t>
      </w:r>
    </w:p>
    <w:p w14:paraId="605647BC">
      <w:pPr>
        <w:pStyle w:val="3"/>
        <w:keepNext w:val="0"/>
        <w:keepLines w:val="0"/>
        <w:widowControl/>
        <w:suppressLineNumbers w:val="0"/>
      </w:pPr>
      <w:r>
        <w:t xml:space="preserve">本文提出的 DAFB-CLS 直接针对聚合机制进行改进，联合解决上述空间维度和深度维度上的限制。在 LaSt-ViT 频率引导选择的基础上，我们进一步引入四种互补的前景线索，并用图像自适应的软掩码替代固定的 top-K 策略。同时，受 AttnRes 深度注意力思想的启发，我们将 </w:t>
      </w:r>
      <w:r>
        <w:rPr>
          <w:rStyle w:val="6"/>
        </w:rPr>
        <w:t>[CLS]</w:t>
      </w:r>
      <w:r>
        <w:t xml:space="preserve"> token 解耦为独立的前景流和背景流，使二者分别对历史 block 表征执行独立的深度注意力聚合。表 I 从关键设计维度上展示了本文方法与已有工作的差异。</w:t>
      </w:r>
    </w:p>
    <w:p w14:paraId="213347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0A4F"/>
    <w:rsid w:val="00347BDB"/>
    <w:rsid w:val="01A9632F"/>
    <w:rsid w:val="01C70212"/>
    <w:rsid w:val="01E360A7"/>
    <w:rsid w:val="037B0103"/>
    <w:rsid w:val="039805C7"/>
    <w:rsid w:val="0399532B"/>
    <w:rsid w:val="03CF6F0E"/>
    <w:rsid w:val="04F62E30"/>
    <w:rsid w:val="04FB3AA9"/>
    <w:rsid w:val="05FF5014"/>
    <w:rsid w:val="07DA314D"/>
    <w:rsid w:val="082658A4"/>
    <w:rsid w:val="08BD5FF9"/>
    <w:rsid w:val="090E6AB6"/>
    <w:rsid w:val="0A701077"/>
    <w:rsid w:val="0AF33435"/>
    <w:rsid w:val="0B0F51ED"/>
    <w:rsid w:val="0BB43D45"/>
    <w:rsid w:val="0BF222C8"/>
    <w:rsid w:val="0C3558BA"/>
    <w:rsid w:val="0D2E2BDA"/>
    <w:rsid w:val="0D512831"/>
    <w:rsid w:val="104A0BB3"/>
    <w:rsid w:val="111921EA"/>
    <w:rsid w:val="126E58D4"/>
    <w:rsid w:val="12AD0AE8"/>
    <w:rsid w:val="12FA1E07"/>
    <w:rsid w:val="13452E52"/>
    <w:rsid w:val="13830538"/>
    <w:rsid w:val="14323357"/>
    <w:rsid w:val="147E7CDA"/>
    <w:rsid w:val="15D469FE"/>
    <w:rsid w:val="172F13BB"/>
    <w:rsid w:val="1791163B"/>
    <w:rsid w:val="18207F2E"/>
    <w:rsid w:val="19064C6C"/>
    <w:rsid w:val="1936636E"/>
    <w:rsid w:val="1A424B3D"/>
    <w:rsid w:val="1A57517C"/>
    <w:rsid w:val="1ADF7664"/>
    <w:rsid w:val="1B2F5B48"/>
    <w:rsid w:val="1BE37C5A"/>
    <w:rsid w:val="1CF92E79"/>
    <w:rsid w:val="1D0A3756"/>
    <w:rsid w:val="1D5C2CE1"/>
    <w:rsid w:val="1DB51403"/>
    <w:rsid w:val="1E004E74"/>
    <w:rsid w:val="1E877B1F"/>
    <w:rsid w:val="1ED03DDD"/>
    <w:rsid w:val="1ED42E87"/>
    <w:rsid w:val="1F307F51"/>
    <w:rsid w:val="21D84004"/>
    <w:rsid w:val="223613C5"/>
    <w:rsid w:val="22FB2B87"/>
    <w:rsid w:val="244B45EE"/>
    <w:rsid w:val="245D1DDC"/>
    <w:rsid w:val="24A12D90"/>
    <w:rsid w:val="24CE74A8"/>
    <w:rsid w:val="24DA5582"/>
    <w:rsid w:val="252B06D3"/>
    <w:rsid w:val="261D40B5"/>
    <w:rsid w:val="268A0205"/>
    <w:rsid w:val="26D43AAB"/>
    <w:rsid w:val="26E8154E"/>
    <w:rsid w:val="27992472"/>
    <w:rsid w:val="2A0A6763"/>
    <w:rsid w:val="2A7D6645"/>
    <w:rsid w:val="2B5818C2"/>
    <w:rsid w:val="2BAC7BFB"/>
    <w:rsid w:val="2BC33526"/>
    <w:rsid w:val="2C7262AD"/>
    <w:rsid w:val="2CD51841"/>
    <w:rsid w:val="2D336E93"/>
    <w:rsid w:val="2DCB7EF8"/>
    <w:rsid w:val="2DE03FF9"/>
    <w:rsid w:val="2E967AF4"/>
    <w:rsid w:val="30055365"/>
    <w:rsid w:val="30422009"/>
    <w:rsid w:val="31AA17B2"/>
    <w:rsid w:val="31EC619B"/>
    <w:rsid w:val="33046BC9"/>
    <w:rsid w:val="333935A7"/>
    <w:rsid w:val="33936B82"/>
    <w:rsid w:val="34BC4528"/>
    <w:rsid w:val="34FD01C1"/>
    <w:rsid w:val="35900A44"/>
    <w:rsid w:val="35997A02"/>
    <w:rsid w:val="387A57F6"/>
    <w:rsid w:val="3965126B"/>
    <w:rsid w:val="39B71976"/>
    <w:rsid w:val="3A2E16F1"/>
    <w:rsid w:val="3B5C4405"/>
    <w:rsid w:val="3B837E6F"/>
    <w:rsid w:val="3CF4186F"/>
    <w:rsid w:val="3E752133"/>
    <w:rsid w:val="40115F08"/>
    <w:rsid w:val="40247A02"/>
    <w:rsid w:val="42F51D2B"/>
    <w:rsid w:val="43881AF8"/>
    <w:rsid w:val="438D3438"/>
    <w:rsid w:val="443E2D08"/>
    <w:rsid w:val="447B169D"/>
    <w:rsid w:val="45A12EC7"/>
    <w:rsid w:val="45A24A3D"/>
    <w:rsid w:val="460D04BA"/>
    <w:rsid w:val="463D5176"/>
    <w:rsid w:val="46A119AA"/>
    <w:rsid w:val="4728639F"/>
    <w:rsid w:val="47AF7EBF"/>
    <w:rsid w:val="48540541"/>
    <w:rsid w:val="48911033"/>
    <w:rsid w:val="489E328D"/>
    <w:rsid w:val="48F45FD0"/>
    <w:rsid w:val="494B080E"/>
    <w:rsid w:val="4B3B68BB"/>
    <w:rsid w:val="4CB031DA"/>
    <w:rsid w:val="4D1C705C"/>
    <w:rsid w:val="4DDF081B"/>
    <w:rsid w:val="4DF35EB9"/>
    <w:rsid w:val="4E2469EB"/>
    <w:rsid w:val="4E6F05B2"/>
    <w:rsid w:val="4EC66D8E"/>
    <w:rsid w:val="4EEA1AD9"/>
    <w:rsid w:val="4F02503B"/>
    <w:rsid w:val="4F5A0499"/>
    <w:rsid w:val="4F6028CE"/>
    <w:rsid w:val="50325D21"/>
    <w:rsid w:val="50674613"/>
    <w:rsid w:val="50771B5E"/>
    <w:rsid w:val="519108A5"/>
    <w:rsid w:val="51E36E64"/>
    <w:rsid w:val="52E65221"/>
    <w:rsid w:val="56205F83"/>
    <w:rsid w:val="564F21FC"/>
    <w:rsid w:val="576E4918"/>
    <w:rsid w:val="58371758"/>
    <w:rsid w:val="583813E5"/>
    <w:rsid w:val="5A811A11"/>
    <w:rsid w:val="5A867E39"/>
    <w:rsid w:val="5A9F2599"/>
    <w:rsid w:val="5B3C1155"/>
    <w:rsid w:val="5B5C7058"/>
    <w:rsid w:val="5CAB4ECB"/>
    <w:rsid w:val="5F1F24D7"/>
    <w:rsid w:val="60EE0200"/>
    <w:rsid w:val="61030EA5"/>
    <w:rsid w:val="61D57FB3"/>
    <w:rsid w:val="62F87FB3"/>
    <w:rsid w:val="643369DC"/>
    <w:rsid w:val="644135C0"/>
    <w:rsid w:val="649E6CE4"/>
    <w:rsid w:val="652E29A5"/>
    <w:rsid w:val="65DE03FB"/>
    <w:rsid w:val="66E04A8F"/>
    <w:rsid w:val="67222094"/>
    <w:rsid w:val="69186271"/>
    <w:rsid w:val="69356566"/>
    <w:rsid w:val="698D7BC0"/>
    <w:rsid w:val="69A10FFB"/>
    <w:rsid w:val="6A384ADA"/>
    <w:rsid w:val="6B2B4E03"/>
    <w:rsid w:val="6C076004"/>
    <w:rsid w:val="6C8F1D13"/>
    <w:rsid w:val="6D435152"/>
    <w:rsid w:val="6DC2475E"/>
    <w:rsid w:val="6DDF641F"/>
    <w:rsid w:val="6DF77042"/>
    <w:rsid w:val="6E5E4F55"/>
    <w:rsid w:val="6EBF7F00"/>
    <w:rsid w:val="6ECE1AB1"/>
    <w:rsid w:val="6ED524EF"/>
    <w:rsid w:val="6F181752"/>
    <w:rsid w:val="6F633050"/>
    <w:rsid w:val="70124526"/>
    <w:rsid w:val="70784C72"/>
    <w:rsid w:val="70A07186"/>
    <w:rsid w:val="71915DBC"/>
    <w:rsid w:val="71FE4A3D"/>
    <w:rsid w:val="728446F2"/>
    <w:rsid w:val="729C3F60"/>
    <w:rsid w:val="7426410F"/>
    <w:rsid w:val="74FD2F8F"/>
    <w:rsid w:val="753A4AE1"/>
    <w:rsid w:val="755469EE"/>
    <w:rsid w:val="76610CFB"/>
    <w:rsid w:val="76CE675E"/>
    <w:rsid w:val="7733338B"/>
    <w:rsid w:val="781A5E54"/>
    <w:rsid w:val="7C34419D"/>
    <w:rsid w:val="7C80044E"/>
    <w:rsid w:val="7D365336"/>
    <w:rsid w:val="7D6663F4"/>
    <w:rsid w:val="7DF11D8A"/>
    <w:rsid w:val="7EC9742A"/>
    <w:rsid w:val="7EE6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2025-08-31T15:50:00Z</dcterms:created>
  <dc:creator>32488</dc:creator>
  <cp:lastModifiedBy>张峻祎</cp:lastModifiedBy>
  <dcterms:modified xsi:type="dcterms:W3CDTF">2026-05-26T10:14:45Z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2666CFFD577044B080259E0171162EF2_12</vt:lpwstr>
  </property>
  <property fmtid="{D5CDD505-2E9C-101B-9397-08002B2CF9AE}" pid="4" name="KSOTemplateDocerSaveRecord">
    <vt:lpwstr>eyJoZGlkIjoiNmE5ZTgzYTRmMmFkOTRkZTEyOTIzNjQ3N2E0NThiN2IiLCJ1c2VySWQiOiIxNjIyMjU0MTA1In0=</vt:lpwstr>
  </property>
</Properties>
</file>