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pPr>
        <w:pStyle w:val="ListBullet"/>
      </w:pPr>
      <w:r>
        <w:t>Retained discrimination supplies capacity for protected class expansion.</w:t>
      </w:r>
    </w:p>
    <w:p>
      <w:pPr>
        <w:pStyle w:val="ListBullet"/>
      </w:pPr>
      <w:r>
        <w:t>Fixed references separate existing discrimination from novel admission.</w:t>
      </w:r>
    </w:p>
    <w:p>
      <w:pPr>
        <w:pStyle w:val="ListBullet"/>
      </w:pPr>
      <w:r>
        <w:t>Classifier value is measured at matched retention and across repeated arrivals.</w:t>
      </w:r>
    </w:p>
    <w:p>
      <w:pPr>
        <w:pStyle w:val="ListBullet"/>
      </w:pPr>
      <w:r>
        <w:t>ImageNet-R gains over dense prototypes persist with two frozen CLIP encoders.</w:t>
      </w:r>
    </w:p>
    <w:p>
      <w:pPr>
        <w:pStyle w:val="ListBullet"/>
      </w:pPr>
      <w:r>
        <w:t>Independent class coverage supports certified admission across three datasets.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