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Novel recognition is measured under a common original-class accuracy constraint.</w:t>
      </w:r>
    </w:p>
    <w:p>
      <w:pPr>
        <w:pStyle w:val="ListBullet"/>
      </w:pPr>
      <w:r>
        <w:t>Reference-anchored tables reuse trained classifiers during class expansion.</w:t>
      </w:r>
    </w:p>
    <w:p>
      <w:pPr>
        <w:pStyle w:val="ListBullet"/>
      </w:pPr>
      <w:r>
        <w:t>CIFAR novel accuracy is 75.79% at a matched base accuracy of 83.48%.</w:t>
      </w:r>
    </w:p>
    <w:p>
      <w:pPr>
        <w:pStyle w:val="ListBullet"/>
      </w:pPr>
      <w:r>
        <w:t>ImageNet-R novel accuracy is 84.48% versus 81.58% for a dense semantic cache.</w:t>
      </w:r>
    </w:p>
    <w:p>
      <w:pPr>
        <w:pStyle w:val="ListBullet"/>
      </w:pPr>
      <w:r>
        <w:t>Repeated calibration retains a 2.14-point ImageNet-R gain over classifier removal.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