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Novel recognition is measured under a common original-class accuracy constraint.</w:t>
      </w:r>
    </w:p>
    <w:p>
      <w:pPr>
        <w:pStyle w:val="ListBullet"/>
      </w:pPr>
      <w:r>
        <w:t>Reference-anchored tables reuse trained classifiers during class expansion.</w:t>
      </w:r>
    </w:p>
    <w:p>
      <w:pPr>
        <w:pStyle w:val="ListBullet"/>
      </w:pPr>
      <w:r>
        <w:t>Two CLIP encoders and ten class partitions test retained classifier value.</w:t>
      </w:r>
    </w:p>
    <w:p>
      <w:pPr>
        <w:pStyle w:val="ListBullet"/>
      </w:pPr>
      <w:r>
        <w:t>ImageNet-R gains over dense prototypes are 0.71 points on L/14 and 0.90 on B/32.</w:t>
      </w:r>
    </w:p>
    <w:p>
      <w:pPr>
        <w:pStyle w:val="ListBullet"/>
      </w:pPr>
      <w:r>
        <w:t>Independent risk calibration enables certified expansion on ImageNet-R.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