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Fixed base references align asymmetric evidence without vocabulary-induced drift.</w:t>
      </w:r>
    </w:p>
    <w:p>
      <w:pPr>
        <w:pStyle w:val="ListBullet"/>
      </w:pPr>
      <w:r>
        <w:t>Query-adaptive margins improve base--novel recognition without extra routers.</w:t>
      </w:r>
    </w:p>
    <w:p>
      <w:pPr>
        <w:pStyle w:val="ListBullet"/>
      </w:pPr>
      <w:r>
        <w:t>Matched HyCal gains reach 10.93 and 13.74 points on ImageNet-R.</w:t>
      </w:r>
    </w:p>
    <w:p>
      <w:pPr>
        <w:pStyle w:val="ListBullet"/>
      </w:pPr>
      <w:r>
        <w:t>Independent calibration selects admission under a base-accuracy requirement.</w:t>
      </w:r>
    </w:p>
    <w:p>
      <w:pPr>
        <w:pStyle w:val="ListBullet"/>
      </w:pPr>
      <w:r>
        <w:t>Target calibration transfers frozen classifiers and prototypes to new renditions.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