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Novel recognition is measured under a common original-class accuracy constraint.</w:t>
      </w:r>
    </w:p>
    <w:p>
      <w:pPr>
        <w:pStyle w:val="ListBullet"/>
      </w:pPr>
      <w:r>
        <w:t>Reference-anchored tables reuse trained classifiers during class expansion.</w:t>
      </w:r>
    </w:p>
    <w:p>
      <w:pPr>
        <w:pStyle w:val="ListBullet"/>
      </w:pPr>
      <w:r>
        <w:t>CIFAR novel accuracy is 75.79% at a matched base accuracy of 83.48%.</w:t>
      </w:r>
    </w:p>
    <w:p>
      <w:pPr>
        <w:pStyle w:val="ListBullet"/>
      </w:pPr>
      <w:r>
        <w:t>Retained columns add 2.18 points over recalibrated removal across five CIFAR steps.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