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Retained discrimination supplies capacity for protected class expansion.</w:t>
      </w:r>
    </w:p>
    <w:p>
      <w:pPr>
        <w:pStyle w:val="ListBullet"/>
      </w:pPr>
      <w:r>
        <w:t>Fixed references separate existing discrimination from novel admission.</w:t>
      </w:r>
    </w:p>
    <w:p>
      <w:pPr>
        <w:pStyle w:val="ListBullet"/>
      </w:pPr>
      <w:r>
        <w:t>Classifier value is measured at matched retention and across repeated arrivals.</w:t>
      </w:r>
    </w:p>
    <w:p>
      <w:pPr>
        <w:pStyle w:val="ListBullet"/>
      </w:pPr>
      <w:r>
        <w:t>ImageNet-R incremental gains persist across two frozen CLIP encoders.</w:t>
      </w:r>
    </w:p>
    <w:p>
      <w:pPr>
        <w:pStyle w:val="ListBullet"/>
      </w:pPr>
      <w:r>
        <w:t>Recovery-aware calibration separates admission from recognition gains.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