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Frozen classifiers support expansion under a shared retention requirement.</w:t>
      </w:r>
    </w:p>
    <w:p>
      <w:pPr>
        <w:pStyle w:val="ListBullet"/>
      </w:pPr>
      <w:r>
        <w:t>Query normalization improves ImageNet-R capacity after equal-budget tuning.</w:t>
      </w:r>
    </w:p>
    <w:p>
      <w:pPr>
        <w:pStyle w:val="ListBullet"/>
      </w:pPr>
      <w:r>
        <w:t>Classifier value is measured at matched retention and across repeated arrivals.</w:t>
      </w:r>
    </w:p>
    <w:p>
      <w:pPr>
        <w:pStyle w:val="ListBullet"/>
      </w:pPr>
      <w:r>
        <w:t>Frozen source models enable useful admission on deduplicated Sketch images.</w:t>
      </w:r>
    </w:p>
    <w:p>
      <w:pPr>
        <w:pStyle w:val="ListBullet"/>
      </w:pPr>
      <w:r>
        <w:t>Recovery-aware calibration separates admission from recognition gains.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