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Fixed reference banks preserve existing scores as the class vocabulary grows.</w:t>
      </w:r>
    </w:p>
    <w:p>
      <w:pPr>
        <w:pStyle w:val="ListBullet"/>
      </w:pPr>
      <w:r>
        <w:t>Query normalization induces an explicit adaptive admission margin.</w:t>
      </w:r>
    </w:p>
    <w:p>
      <w:pPr>
        <w:pStyle w:val="ListBullet"/>
      </w:pPr>
      <w:r>
        <w:t>Preserved base rankings make protection equivalent to the retention target.</w:t>
      </w:r>
    </w:p>
    <w:p>
      <w:pPr>
        <w:pStyle w:val="ListBullet"/>
      </w:pPr>
      <w:r>
        <w:t>Recovery-aware testing certifies admission under a shared accuracy requirement.</w:t>
      </w:r>
    </w:p>
    <w:p>
      <w:pPr>
        <w:pStyle w:val="ListBullet"/>
      </w:pPr>
      <w:r>
        <w:t>Target calibration transfers frozen source readouts to ImageNet-Sketch.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