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供应链库存风险分析报告</w:t>
      </w:r>
    </w:p>
    <w:p>
      <w:r>
        <w:t>生成时间：20261026_202256</w:t>
        <w:br/>
        <w:t>数据来源：演示数据（虚构物料）</w:t>
        <w:br/>
        <w:t>数据性质：demo</w:t>
        <w:br/>
        <w:t>测试窗口：14 天 · 基准日：2026-10-26</w:t>
      </w:r>
    </w:p>
    <w:p>
      <w:pPr>
        <w:pStyle w:val="Heading1"/>
      </w:pPr>
      <w:r>
        <w:t>一、风险发现</w:t>
      </w:r>
    </w:p>
    <w:p>
      <w:r>
        <w:t>缺货风险 1 项 / 低于安全库存 1 项 / 覆盖偏高 1 项 / 正常 3 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物料</w:t>
            </w:r>
          </w:p>
        </w:tc>
        <w:tc>
          <w:tcPr>
            <w:tcW w:type="dxa" w:w="1440"/>
          </w:tcPr>
          <w:p>
            <w:r>
              <w:t>快照库存</w:t>
            </w:r>
          </w:p>
        </w:tc>
        <w:tc>
          <w:tcPr>
            <w:tcW w:type="dxa" w:w="1440"/>
          </w:tcPr>
          <w:p>
            <w:r>
              <w:t>日均用量</w:t>
            </w:r>
          </w:p>
        </w:tc>
        <w:tc>
          <w:tcPr>
            <w:tcW w:type="dxa" w:w="1440"/>
          </w:tcPr>
          <w:p>
            <w:r>
              <w:t>覆盖天数</w:t>
            </w:r>
          </w:p>
        </w:tc>
        <w:tc>
          <w:tcPr>
            <w:tcW w:type="dxa" w:w="1440"/>
          </w:tcPr>
          <w:p>
            <w:r>
              <w:t>风险等级</w:t>
            </w:r>
          </w:p>
        </w:tc>
        <w:tc>
          <w:tcPr>
            <w:tcW w:type="dxa" w:w="1440"/>
          </w:tcPr>
          <w:p>
            <w:r>
              <w:t>首次缺货</w:t>
            </w:r>
          </w:p>
        </w:tc>
      </w:tr>
      <w:tr>
        <w:tc>
          <w:tcPr>
            <w:tcW w:type="dxa" w:w="1440"/>
          </w:tcPr>
          <w:p>
            <w:r>
              <w:t>M-004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5.63</w:t>
            </w:r>
          </w:p>
        </w:tc>
        <w:tc>
          <w:tcPr>
            <w:tcW w:type="dxa" w:w="1440"/>
          </w:tcPr>
          <w:p>
            <w:r>
              <w:t>缺货风险</w:t>
            </w:r>
          </w:p>
        </w:tc>
        <w:tc>
          <w:tcPr>
            <w:tcW w:type="dxa" w:w="1440"/>
          </w:tcPr>
          <w:p>
            <w:r>
              <w:t>2026-10-31</w:t>
            </w:r>
          </w:p>
        </w:tc>
      </w:tr>
      <w:tr>
        <w:tc>
          <w:tcPr>
            <w:tcW w:type="dxa" w:w="1440"/>
          </w:tcPr>
          <w:p>
            <w:r>
              <w:t>M-002</w:t>
            </w:r>
          </w:p>
        </w:tc>
        <w:tc>
          <w:tcPr>
            <w:tcW w:type="dxa" w:w="1440"/>
          </w:tcPr>
          <w:p>
            <w:r>
              <w:t>120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13.33</w:t>
            </w:r>
          </w:p>
        </w:tc>
        <w:tc>
          <w:tcPr>
            <w:tcW w:type="dxa" w:w="1440"/>
          </w:tcPr>
          <w:p>
            <w:r>
              <w:t>低于安全库存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M-003</w:t>
            </w:r>
          </w:p>
        </w:tc>
        <w:tc>
          <w:tcPr>
            <w:tcW w:type="dxa" w:w="1440"/>
          </w:tcPr>
          <w:p>
            <w:r>
              <w:t>600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库存覆盖偏高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M-001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状态正常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M-006</w:t>
            </w:r>
          </w:p>
        </w:tc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10.83</w:t>
            </w:r>
          </w:p>
        </w:tc>
        <w:tc>
          <w:tcPr>
            <w:tcW w:type="dxa" w:w="1440"/>
          </w:tcPr>
          <w:p>
            <w:r>
              <w:t>状态正常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M-005</w:t>
            </w:r>
          </w:p>
        </w:tc>
        <w:tc>
          <w:tcPr>
            <w:tcW w:type="dxa" w:w="1440"/>
          </w:tcPr>
          <w:p>
            <w:r>
              <w:t>190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27.14</w:t>
            </w:r>
          </w:p>
        </w:tc>
        <w:tc>
          <w:tcPr>
            <w:tcW w:type="dxa" w:w="1440"/>
          </w:tcPr>
          <w:p>
            <w:r>
              <w:t>状态正常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>
      <w:pPr>
        <w:pStyle w:val="Heading1"/>
      </w:pPr>
      <w:r>
        <w:t>二、自主压力测试与临界点</w:t>
      </w:r>
    </w:p>
    <w:p>
      <w:r>
        <w:t>共测试 6 个物料、执行 57 轮确定性仿真。临界点 = 首次触发缺货的最小整数扰动。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物料</w:t>
            </w:r>
          </w:p>
        </w:tc>
        <w:tc>
          <w:tcPr>
            <w:tcW w:type="dxa" w:w="1728"/>
          </w:tcPr>
          <w:p>
            <w:r>
              <w:t>到货延期(天)</w:t>
            </w:r>
          </w:p>
        </w:tc>
        <w:tc>
          <w:tcPr>
            <w:tcW w:type="dxa" w:w="1728"/>
          </w:tcPr>
          <w:p>
            <w:r>
              <w:t>下单推迟(天)</w:t>
            </w:r>
          </w:p>
        </w:tc>
        <w:tc>
          <w:tcPr>
            <w:tcW w:type="dxa" w:w="1728"/>
          </w:tcPr>
          <w:p>
            <w:r>
              <w:t>需求上涨(%)</w:t>
            </w:r>
          </w:p>
        </w:tc>
        <w:tc>
          <w:tcPr>
            <w:tcW w:type="dxa" w:w="1728"/>
          </w:tcPr>
          <w:p>
            <w:r>
              <w:t>基线风险</w:t>
            </w:r>
          </w:p>
        </w:tc>
      </w:tr>
      <w:tr>
        <w:tc>
          <w:tcPr>
            <w:tcW w:type="dxa" w:w="1728"/>
          </w:tcPr>
          <w:p>
            <w:r>
              <w:t>M-004</w:t>
            </w:r>
          </w:p>
        </w:tc>
        <w:tc>
          <w:tcPr>
            <w:tcW w:type="dxa" w:w="1728"/>
          </w:tcPr>
          <w:p>
            <w:r>
              <w:t>already</w:t>
            </w:r>
          </w:p>
        </w:tc>
        <w:tc>
          <w:tcPr>
            <w:tcW w:type="dxa" w:w="1728"/>
          </w:tcPr>
          <w:p>
            <w:r>
              <w:t>already</w:t>
            </w:r>
          </w:p>
        </w:tc>
        <w:tc>
          <w:tcPr>
            <w:tcW w:type="dxa" w:w="1728"/>
          </w:tcPr>
          <w:p>
            <w:r>
              <w:t>already</w:t>
            </w:r>
          </w:p>
        </w:tc>
        <w:tc>
          <w:tcPr>
            <w:tcW w:type="dxa" w:w="1728"/>
          </w:tcPr>
          <w:p>
            <w:r>
              <w:t>缺货风险</w:t>
            </w:r>
          </w:p>
        </w:tc>
      </w:tr>
      <w:tr>
        <w:tc>
          <w:tcPr>
            <w:tcW w:type="dxa" w:w="1728"/>
          </w:tcPr>
          <w:p>
            <w:r>
              <w:t>M-002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低于安全库存</w:t>
            </w:r>
          </w:p>
        </w:tc>
      </w:tr>
      <w:tr>
        <w:tc>
          <w:tcPr>
            <w:tcW w:type="dxa" w:w="1728"/>
          </w:tcPr>
          <w:p>
            <w:r>
              <w:t>M-003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not-found</w:t>
            </w:r>
          </w:p>
        </w:tc>
        <w:tc>
          <w:tcPr>
            <w:tcW w:type="dxa" w:w="1728"/>
          </w:tcPr>
          <w:p>
            <w:r>
              <w:t>库存覆盖偏高</w:t>
            </w:r>
          </w:p>
        </w:tc>
      </w:tr>
      <w:tr>
        <w:tc>
          <w:tcPr>
            <w:tcW w:type="dxa" w:w="1728"/>
          </w:tcPr>
          <w:p>
            <w:r>
              <w:t>M-001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状态正常</w:t>
            </w:r>
          </w:p>
        </w:tc>
      </w:tr>
      <w:tr>
        <w:tc>
          <w:tcPr>
            <w:tcW w:type="dxa" w:w="1728"/>
          </w:tcPr>
          <w:p>
            <w:r>
              <w:t>M-006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状态正常</w:t>
            </w:r>
          </w:p>
        </w:tc>
      </w:tr>
      <w:tr>
        <w:tc>
          <w:tcPr>
            <w:tcW w:type="dxa" w:w="1728"/>
          </w:tcPr>
          <w:p>
            <w:r>
              <w:t>M-005</w:t>
            </w:r>
          </w:p>
        </w:tc>
        <w:tc>
          <w:tcPr>
            <w:tcW w:type="dxa" w:w="1728"/>
          </w:tcPr>
          <w:p>
            <w:r>
              <w:t>not-found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176</w:t>
            </w:r>
          </w:p>
        </w:tc>
        <w:tc>
          <w:tcPr>
            <w:tcW w:type="dxa" w:w="1728"/>
          </w:tcPr>
          <w:p>
            <w:r>
              <w:t>状态正常</w:t>
            </w:r>
          </w:p>
        </w:tc>
      </w:tr>
    </w:tbl>
    <w:p>
      <w:pPr>
        <w:pStyle w:val="Heading1"/>
      </w:pPr>
      <w:r>
        <w:t>三、干预方案（需人工审核）</w:t>
      </w:r>
    </w:p>
    <w:p>
      <w:r>
        <w:t>重点情景：采购到货延迟 2，影响物料 M-004</w:t>
      </w:r>
    </w:p>
    <w:p>
      <w:pPr>
        <w:pStyle w:val="ListBullet"/>
      </w:pPr>
      <w:r>
        <w:t>与供应商协商缩短延期：将假设延迟从 2 天缩短至 0 天。模拟缺口改善 16 件；仍有缺口。需供应商确认加急可行性与额外费用；不代表已落实</w:t>
      </w:r>
    </w:p>
    <w:p>
      <w:pPr>
        <w:pStyle w:val="ListBullet"/>
      </w:pPr>
      <w:r>
        <w:t>提出临时补货计划：建议核实 55 件是否可在 8 天后（2026-11-03）到货。模拟缺口改善 16 件；仍有缺口。到货日期仅按录入的供应商交期假设，未经确认；即使补货，也可能无法阻止更早的缺口</w:t>
      </w:r>
    </w:p>
    <w:p>
      <w:pPr>
        <w:pStyle w:val="ListBullet"/>
      </w:pPr>
      <w:r>
        <w:t>协调分批交付 / 需求平滑：假设在测试窗口内将每日需求减少 10%。模拟缺口改善 8 件；仍有缺口。需销售与客户确认；是需求协商情景，不代表原订单可直接减少</w:t>
      </w:r>
    </w:p>
    <w:p>
      <w:pPr>
        <w:pStyle w:val="Heading1"/>
      </w:pPr>
      <w:r>
        <w:t>四、假设与边界</w:t>
      </w:r>
    </w:p>
    <w:p>
      <w:pPr>
        <w:pStyle w:val="ListNumber"/>
      </w:pPr>
      <w:r>
        <w:t>收货按每日开始入库，同日消耗在入库后计算。</w:t>
      </w:r>
    </w:p>
    <w:p>
      <w:pPr>
        <w:pStyle w:val="ListNumber"/>
      </w:pPr>
      <w:r>
        <w:t>日均用量在窗口内恒定；需求上涨按倍率放大。</w:t>
      </w:r>
    </w:p>
    <w:p>
      <w:pPr>
        <w:pStyle w:val="ListNumber"/>
      </w:pPr>
      <w:r>
        <w:t>缺货数量由确定性仿真引擎计算，不由大模型生成。</w:t>
      </w:r>
    </w:p>
    <w:p>
      <w:pPr>
        <w:pStyle w:val="ListNumber"/>
      </w:pPr>
      <w:r>
        <w:t>逾期未确认收货的采购单不计入未来到货。</w:t>
      </w:r>
    </w:p>
    <w:p>
      <w:pPr>
        <w:pStyle w:val="ListNumber"/>
      </w:pPr>
      <w:r>
        <w:t>缺少 BOM/生产计划/调拨数据，不把物料缺口直接认定为停产。</w:t>
      </w:r>
    </w:p>
    <w:p>
      <w:pPr>
        <w:pStyle w:val="ListNumber"/>
      </w:pPr>
      <w:r>
        <w:t>所有催货、补货等方案需人工审核后执行，系统无自动下单权限。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