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40"/>
      </w:pPr>
    </w:p>
    <w:p>
      <w:pPr>
        <w:spacing w:after="200"/>
        <w:jc w:val="center"/>
      </w:pPr>
      <w:r>
        <w:rPr>
          <w:rFonts w:ascii="Calibri" w:hAnsi="Calibri"/>
          <w:b/>
          <w:color w:val="0EA5A8"/>
          <w:sz w:val="20"/>
        </w:rPr>
        <w:t>EMBEDGIT TEAM ONBOARDING GUIDE</w:t>
      </w:r>
    </w:p>
    <w:p>
      <w:pPr>
        <w:keepNext/>
        <w:spacing w:after="160"/>
        <w:jc w:val="center"/>
      </w:pPr>
      <w:r>
        <w:rPr>
          <w:rFonts w:ascii="Calibri" w:hAnsi="Calibri"/>
          <w:b/>
          <w:color w:val="102A43"/>
          <w:sz w:val="62"/>
        </w:rPr>
        <w:t>Embeddings and</w:t>
        <w:br/>
        <w:t>Vector Spaces</w:t>
      </w:r>
    </w:p>
    <w:p>
      <w:pPr>
        <w:spacing w:after="560"/>
        <w:jc w:val="center"/>
      </w:pPr>
      <w:r>
        <w:rPr>
          <w:rFonts w:ascii="Calibri" w:hAnsi="Calibri"/>
          <w:color w:val="627D98"/>
          <w:sz w:val="29"/>
        </w:rPr>
        <w:t>A beginner-friendly foundation for semantic search, RAG, vector databases, and our version-control project</w:t>
      </w:r>
    </w:p>
    <w:p>
      <w:pPr>
        <w:jc w:val="center"/>
        <w:pBdr>
          <w:bottom w:val="single" w:sz="18" w:space="2" w:color="0EA5A8"/>
        </w:pBdr>
      </w:pPr>
    </w:p>
    <w:p>
      <w:pPr>
        <w:spacing w:after="360"/>
      </w:pPr>
    </w:p>
    <w:p>
      <w:pPr>
        <w:keepLines/>
        <w:spacing w:before="100" w:after="180"/>
        <w:ind w:left="202" w:right="115"/>
        <w:shd w:fill="E7F8F7"/>
        <w:pBdr>
          <w:left w:val="single" w:sz="20" w:space="8" w:color="0EA5A8"/>
        </w:pBdr>
      </w:pPr>
      <w:r>
        <w:rPr>
          <w:rFonts w:ascii="Calibri" w:hAnsi="Calibri"/>
          <w:b/>
          <w:color w:val="0EA5A8"/>
          <w:sz w:val="20"/>
        </w:rPr>
        <w:t xml:space="preserve">Outcome  </w:t>
      </w:r>
      <w:r>
        <w:rPr>
          <w:rFonts w:ascii="Calibri" w:hAnsi="Calibri"/>
          <w:color w:val="243B53"/>
          <w:sz w:val="20"/>
        </w:rPr>
        <w:t>After reading this guide, every teammate should be able to explain what an embedding is, how similarity search works, why vector spaces can become incompatible, and what EmbedGit must track for safe reuse.</w:t>
      </w:r>
    </w:p>
    <w:p>
      <w:pPr>
        <w:spacing w:after="760"/>
      </w:pPr>
    </w:p>
    <w:p>
      <w:pPr>
        <w:jc w:val="center"/>
      </w:pPr>
      <w:r>
        <w:rPr>
          <w:rFonts w:ascii="Calibri" w:hAnsi="Calibri"/>
          <w:b/>
          <w:color w:val="627D98"/>
          <w:sz w:val="18"/>
        </w:rPr>
        <w:t>SEMESTER PBL  |  TEAM PRIMER  |  VERSION 1.0</w:t>
      </w:r>
    </w:p>
    <w:p>
      <w:r>
        <w:br w:type="page"/>
      </w:r>
    </w:p>
    <w:p>
      <w:pPr>
        <w:pStyle w:val="Heading1"/>
      </w:pPr>
      <w:r>
        <w:t>Start here</w:t>
      </w:r>
    </w:p>
    <w:p>
      <w:r>
        <w:rPr>
          <w:rFonts w:ascii="Calibri" w:hAnsi="Calibri"/>
          <w:i w:val="0"/>
          <w:color w:val="243B53"/>
        </w:rPr>
        <w:t>This guide assumes no machine-learning background. It starts with intuition, then introduces only the mathematics and engineering ideas needed to work responsibly on EmbedGit.</w:t>
      </w:r>
    </w:p>
    <w:p>
      <w:pPr>
        <w:keepLines/>
        <w:spacing w:before="100" w:after="180"/>
        <w:ind w:left="202" w:right="115"/>
        <w:shd w:fill="EAF2FF"/>
        <w:pBdr>
          <w:left w:val="single" w:sz="20" w:space="8" w:color="1363DF"/>
        </w:pBdr>
      </w:pPr>
      <w:r>
        <w:rPr>
          <w:rFonts w:ascii="Calibri" w:hAnsi="Calibri"/>
          <w:b/>
          <w:color w:val="1363DF"/>
          <w:sz w:val="20"/>
        </w:rPr>
        <w:t xml:space="preserve">One-sentence mental model  </w:t>
      </w:r>
      <w:r>
        <w:rPr>
          <w:rFonts w:ascii="Calibri" w:hAnsi="Calibri"/>
          <w:color w:val="243B53"/>
          <w:sz w:val="20"/>
        </w:rPr>
        <w:t>An embedding model converts an item into a list of numbers so that items with related meaning are usually located near one another in a learned vector space.</w:t>
      </w:r>
    </w:p>
    <w:p>
      <w:pPr>
        <w:pStyle w:val="Heading2"/>
      </w:pPr>
      <w:r>
        <w:t>Learning objectives</w:t>
      </w:r>
    </w:p>
    <w:p>
      <w:pPr>
        <w:pStyle w:val="ListBullet"/>
      </w:pPr>
      <w:r>
        <w:rPr>
          <w:rFonts w:ascii="Calibri" w:hAnsi="Calibri"/>
          <w:color w:val="243B53"/>
        </w:rPr>
        <w:t>Explain embeddings without using jargon.</w:t>
      </w:r>
    </w:p>
    <w:p>
      <w:pPr>
        <w:pStyle w:val="ListBullet"/>
      </w:pPr>
      <w:r>
        <w:rPr>
          <w:rFonts w:ascii="Calibri" w:hAnsi="Calibri"/>
          <w:color w:val="243B53"/>
        </w:rPr>
        <w:t>Distinguish tokens, chunks, embeddings, vectors, indexes, and vector databases.</w:t>
      </w:r>
    </w:p>
    <w:p>
      <w:pPr>
        <w:pStyle w:val="ListBullet"/>
      </w:pPr>
      <w:r>
        <w:rPr>
          <w:rFonts w:ascii="Calibri" w:hAnsi="Calibri"/>
          <w:color w:val="243B53"/>
        </w:rPr>
        <w:t>Compare cosine similarity, dot product, and Euclidean distance at a practical level.</w:t>
      </w:r>
    </w:p>
    <w:p>
      <w:pPr>
        <w:pStyle w:val="ListBullet"/>
      </w:pPr>
      <w:r>
        <w:rPr>
          <w:rFonts w:ascii="Calibri" w:hAnsi="Calibri"/>
          <w:color w:val="243B53"/>
        </w:rPr>
        <w:t>Describe semantic search and a basic RAG pipeline.</w:t>
      </w:r>
    </w:p>
    <w:p>
      <w:pPr>
        <w:pStyle w:val="ListBullet"/>
      </w:pPr>
      <w:r>
        <w:rPr>
          <w:rFonts w:ascii="Calibri" w:hAnsi="Calibri"/>
          <w:color w:val="243B53"/>
        </w:rPr>
        <w:t>Recognize when an old embedding is reusable and when it is stale.</w:t>
      </w:r>
    </w:p>
    <w:p>
      <w:pPr>
        <w:pStyle w:val="ListBullet"/>
      </w:pPr>
      <w:r>
        <w:rPr>
          <w:rFonts w:ascii="Calibri" w:hAnsi="Calibri"/>
          <w:color w:val="243B53"/>
        </w:rPr>
        <w:t>Understand the minimum Python, Git, hashing, testing, and reproducibility knowledge needed before implementation.</w:t>
      </w:r>
    </w:p>
    <w:p>
      <w:pPr>
        <w:pStyle w:val="Heading2"/>
      </w:pPr>
      <w:r>
        <w:t>The whole pipeline at a glance</w:t>
      </w:r>
    </w:p>
    <w:p>
      <w:pPr>
        <w:spacing w:before="80" w:after="60"/>
        <w:jc w:val="center"/>
      </w:pPr>
      <w:r>
        <w:drawing>
          <wp:inline xmlns:a="http://schemas.openxmlformats.org/drawingml/2006/main" xmlns:pic="http://schemas.openxmlformats.org/drawingml/2006/picture">
            <wp:extent cx="5897880" cy="2044598"/>
            <wp:docPr id="1" name="Picture 1" title="Embedding pipeline" descr="A document or chunk passes through an embedding model to become a vector. The vector is stored in a vector database and used to retrieve top-k similar results."/>
            <wp:cNvGraphicFramePr>
              <a:graphicFrameLocks noChangeAspect="1"/>
            </wp:cNvGraphicFramePr>
            <a:graphic>
              <a:graphicData uri="http://schemas.openxmlformats.org/drawingml/2006/picture">
                <pic:pic>
                  <pic:nvPicPr>
                    <pic:cNvPr id="0" name="embedding_pipeline.png"/>
                    <pic:cNvPicPr/>
                  </pic:nvPicPr>
                  <pic:blipFill>
                    <a:blip r:embed="rId11"/>
                    <a:stretch>
                      <a:fillRect/>
                    </a:stretch>
                  </pic:blipFill>
                  <pic:spPr>
                    <a:xfrm>
                      <a:off x="0" y="0"/>
                      <a:ext cx="5897880" cy="2044598"/>
                    </a:xfrm>
                    <a:prstGeom prst="rect"/>
                  </pic:spPr>
                </pic:pic>
              </a:graphicData>
            </a:graphic>
          </wp:inline>
        </w:drawing>
      </w:r>
    </w:p>
    <w:p>
      <w:pPr>
        <w:spacing w:after="160"/>
        <w:jc w:val="center"/>
      </w:pPr>
      <w:r>
        <w:rPr>
          <w:rFonts w:ascii="Calibri" w:hAnsi="Calibri"/>
          <w:i/>
          <w:color w:val="627D98"/>
          <w:sz w:val="17"/>
        </w:rPr>
        <w:t>Figure 1. A simplified embedding and search pipeline.</w:t>
      </w:r>
    </w:p>
    <w:p>
      <w:pPr>
        <w:keepLines/>
        <w:spacing w:before="100" w:after="180"/>
        <w:ind w:left="202" w:right="115"/>
        <w:shd w:fill="FFF4E5"/>
        <w:pBdr>
          <w:left w:val="single" w:sz="20" w:space="8" w:color="D97706"/>
        </w:pBdr>
      </w:pPr>
      <w:r>
        <w:rPr>
          <w:rFonts w:ascii="Calibri" w:hAnsi="Calibri"/>
          <w:b/>
          <w:color w:val="D97706"/>
          <w:sz w:val="20"/>
        </w:rPr>
        <w:t xml:space="preserve">Important  </w:t>
      </w:r>
      <w:r>
        <w:rPr>
          <w:rFonts w:ascii="Calibri" w:hAnsi="Calibri"/>
          <w:color w:val="243B53"/>
          <w:sz w:val="20"/>
        </w:rPr>
        <w:t>The vector does not store a human-readable definition. Its meaning comes from the model, training objective, preprocessing, and the geometric relationships among many vectors.</w:t>
      </w:r>
    </w:p>
    <w:p>
      <w:r>
        <w:br w:type="page"/>
      </w:r>
    </w:p>
    <w:p>
      <w:pPr>
        <w:pStyle w:val="Heading1"/>
      </w:pPr>
      <w:r>
        <w:t>1. What is an embedding?</w:t>
      </w:r>
    </w:p>
    <w:p>
      <w:r>
        <w:rPr>
          <w:rFonts w:ascii="Calibri" w:hAnsi="Calibri"/>
          <w:i w:val="0"/>
          <w:color w:val="243B53"/>
        </w:rPr>
        <w:t>An embedding is a numerical representation learned by a model. The input may be a word, sentence, document chunk, image, audio clip, user, or product. The output is a fixed-length vector - an ordered list of numbers.</w:t>
      </w:r>
    </w:p>
    <w:p>
      <w:pPr>
        <w:pStyle w:val="CodeBlock"/>
      </w:pPr>
      <w:r>
        <w:t>"process scheduling in operating systems"</w:t>
        <w:br/>
        <w:t xml:space="preserve">       -&gt; embedding model</w:t>
        <w:br/>
        <w:t xml:space="preserve">       -&gt; [0.12, -0.43, 0.87, 0.05, ...]</w:t>
      </w:r>
    </w:p>
    <w:p>
      <w:pPr>
        <w:pStyle w:val="Heading2"/>
      </w:pPr>
      <w:r>
        <w:t>Why turn meaning into numbers?</w:t>
      </w:r>
    </w:p>
    <w:p>
      <w:r>
        <w:rPr>
          <w:rFonts w:ascii="Calibri" w:hAnsi="Calibri"/>
          <w:i w:val="0"/>
          <w:color w:val="243B53"/>
        </w:rPr>
        <w:t>Computers can compare numbers efficiently. A useful embedding model arranges vectors so that semantically related inputs tend to be closer than unrelated inputs. This enables search by meaning instead of exact keyword match.</w:t>
      </w:r>
    </w:p>
    <w:tbl>
      <w:tblPr>
        <w:tblStyle w:val="TableGrid"/>
        <w:tblW w:type="dxa" w:w="9360"/>
        <w:tblLayout w:type="fixed"/>
        <w:tblLook w:firstColumn="1" w:firstRow="1" w:lastColumn="0" w:lastRow="0" w:noHBand="0" w:noVBand="1" w:val="04A0"/>
        <w:jc w:val="left"/>
        <w:tblInd w:w="120" w:type="dxa"/>
      </w:tblPr>
      <w:tblGrid>
        <w:gridCol w:w="2600"/>
        <w:gridCol w:w="3000"/>
        <w:gridCol w:w="3760"/>
      </w:tblGrid>
      <w:tr>
        <w:trPr>
          <w:cantSplit/>
          <w:tblHeader w:val="true"/>
          <w:cantSplit/>
        </w:trPr>
        <w:tc>
          <w:tcPr>
            <w:tcW w:type="dxa" w:w="2600"/>
            <w:tcMar>
              <w:top w:w="100" w:type="dxa"/>
              <w:start w:w="120" w:type="dxa"/>
              <w:bottom w:w="100" w:type="dxa"/>
              <w:end w:w="120" w:type="dxa"/>
            </w:tcMar>
            <w:vAlign w:val="center"/>
            <w:shd w:fill="102A43"/>
          </w:tcPr>
          <w:p>
            <w:pPr>
              <w:spacing w:after="0"/>
            </w:pPr>
            <w:r>
              <w:rPr>
                <w:rFonts w:ascii="Calibri" w:hAnsi="Calibri"/>
                <w:b/>
                <w:color w:val="FFFFFF"/>
                <w:sz w:val="18"/>
              </w:rPr>
              <w:t>Input A</w:t>
            </w:r>
          </w:p>
        </w:tc>
        <w:tc>
          <w:tcPr>
            <w:tcW w:type="dxa" w:w="3000"/>
            <w:tcMar>
              <w:top w:w="100" w:type="dxa"/>
              <w:start w:w="120" w:type="dxa"/>
              <w:bottom w:w="100" w:type="dxa"/>
              <w:end w:w="120" w:type="dxa"/>
            </w:tcMar>
            <w:vAlign w:val="center"/>
            <w:shd w:fill="102A43"/>
          </w:tcPr>
          <w:p>
            <w:pPr>
              <w:spacing w:after="0"/>
            </w:pPr>
            <w:r>
              <w:rPr>
                <w:rFonts w:ascii="Calibri" w:hAnsi="Calibri"/>
                <w:b/>
                <w:color w:val="FFFFFF"/>
                <w:sz w:val="18"/>
              </w:rPr>
              <w:t>Input B</w:t>
            </w:r>
          </w:p>
        </w:tc>
        <w:tc>
          <w:tcPr>
            <w:tcW w:type="dxa" w:w="3760"/>
            <w:tcMar>
              <w:top w:w="100" w:type="dxa"/>
              <w:start w:w="120" w:type="dxa"/>
              <w:bottom w:w="100" w:type="dxa"/>
              <w:end w:w="120" w:type="dxa"/>
            </w:tcMar>
            <w:vAlign w:val="center"/>
            <w:shd w:fill="102A43"/>
          </w:tcPr>
          <w:p>
            <w:pPr>
              <w:spacing w:after="0"/>
            </w:pPr>
            <w:r>
              <w:rPr>
                <w:rFonts w:ascii="Calibri" w:hAnsi="Calibri"/>
                <w:b/>
                <w:color w:val="FFFFFF"/>
                <w:sz w:val="18"/>
              </w:rPr>
              <w:t>Expected relationship</w:t>
            </w:r>
          </w:p>
        </w:tc>
      </w:tr>
      <w:tr>
        <w:trPr>
          <w:cantSplit/>
        </w:trPr>
        <w:tc>
          <w:tcPr>
            <w:tcW w:type="dxa" w:w="2600"/>
            <w:tcMar>
              <w:top w:w="100" w:type="dxa"/>
              <w:start w:w="120" w:type="dxa"/>
              <w:bottom w:w="100" w:type="dxa"/>
              <w:end w:w="120" w:type="dxa"/>
            </w:tcMar>
            <w:vAlign w:val="center"/>
          </w:tcPr>
          <w:p>
            <w:pPr>
              <w:spacing w:after="0"/>
            </w:pPr>
            <w:r>
              <w:rPr>
                <w:rFonts w:ascii="Calibri" w:hAnsi="Calibri"/>
                <w:color w:val="243B53"/>
                <w:sz w:val="18"/>
              </w:rPr>
              <w:t>CPU scheduling</w:t>
            </w:r>
          </w:p>
        </w:tc>
        <w:tc>
          <w:tcPr>
            <w:tcW w:type="dxa" w:w="3000"/>
            <w:tcMar>
              <w:top w:w="100" w:type="dxa"/>
              <w:start w:w="120" w:type="dxa"/>
              <w:bottom w:w="100" w:type="dxa"/>
              <w:end w:w="120" w:type="dxa"/>
            </w:tcMar>
            <w:vAlign w:val="center"/>
          </w:tcPr>
          <w:p>
            <w:pPr>
              <w:spacing w:after="0"/>
            </w:pPr>
            <w:r>
              <w:rPr>
                <w:rFonts w:ascii="Calibri" w:hAnsi="Calibri"/>
                <w:color w:val="243B53"/>
                <w:sz w:val="18"/>
              </w:rPr>
              <w:t>process scheduling algorithms</w:t>
            </w:r>
          </w:p>
        </w:tc>
        <w:tc>
          <w:tcPr>
            <w:tcW w:type="dxa" w:w="3760"/>
            <w:tcMar>
              <w:top w:w="100" w:type="dxa"/>
              <w:start w:w="120" w:type="dxa"/>
              <w:bottom w:w="100" w:type="dxa"/>
              <w:end w:w="120" w:type="dxa"/>
            </w:tcMar>
            <w:vAlign w:val="center"/>
          </w:tcPr>
          <w:p>
            <w:pPr>
              <w:spacing w:after="0"/>
            </w:pPr>
            <w:r>
              <w:rPr>
                <w:rFonts w:ascii="Calibri" w:hAnsi="Calibri"/>
                <w:color w:val="243B53"/>
                <w:sz w:val="18"/>
              </w:rPr>
              <w:t>Very similar</w:t>
            </w:r>
          </w:p>
        </w:tc>
      </w:tr>
      <w:tr>
        <w:trPr>
          <w:cantSplit/>
        </w:trPr>
        <w:tc>
          <w:tcPr>
            <w:tcW w:type="dxa" w:w="2600"/>
            <w:shd w:fill="F7FAFC"/>
            <w:tcMar>
              <w:top w:w="100" w:type="dxa"/>
              <w:start w:w="120" w:type="dxa"/>
              <w:bottom w:w="100" w:type="dxa"/>
              <w:end w:w="120" w:type="dxa"/>
            </w:tcMar>
            <w:vAlign w:val="center"/>
          </w:tcPr>
          <w:p>
            <w:pPr>
              <w:spacing w:after="0"/>
            </w:pPr>
            <w:r>
              <w:rPr>
                <w:rFonts w:ascii="Calibri" w:hAnsi="Calibri"/>
                <w:color w:val="243B53"/>
                <w:sz w:val="18"/>
              </w:rPr>
              <w:t>database transactions</w:t>
            </w:r>
          </w:p>
        </w:tc>
        <w:tc>
          <w:tcPr>
            <w:tcW w:type="dxa" w:w="3000"/>
            <w:shd w:fill="F7FAFC"/>
            <w:tcMar>
              <w:top w:w="100" w:type="dxa"/>
              <w:start w:w="120" w:type="dxa"/>
              <w:bottom w:w="100" w:type="dxa"/>
              <w:end w:w="120" w:type="dxa"/>
            </w:tcMar>
            <w:vAlign w:val="center"/>
          </w:tcPr>
          <w:p>
            <w:pPr>
              <w:spacing w:after="0"/>
            </w:pPr>
            <w:r>
              <w:rPr>
                <w:rFonts w:ascii="Calibri" w:hAnsi="Calibri"/>
                <w:color w:val="243B53"/>
                <w:sz w:val="18"/>
              </w:rPr>
              <w:t>ACID properties</w:t>
            </w:r>
          </w:p>
        </w:tc>
        <w:tc>
          <w:tcPr>
            <w:tcW w:type="dxa" w:w="3760"/>
            <w:shd w:fill="F7FAFC"/>
            <w:tcMar>
              <w:top w:w="100" w:type="dxa"/>
              <w:start w:w="120" w:type="dxa"/>
              <w:bottom w:w="100" w:type="dxa"/>
              <w:end w:w="120" w:type="dxa"/>
            </w:tcMar>
            <w:vAlign w:val="center"/>
          </w:tcPr>
          <w:p>
            <w:pPr>
              <w:spacing w:after="0"/>
            </w:pPr>
            <w:r>
              <w:rPr>
                <w:rFonts w:ascii="Calibri" w:hAnsi="Calibri"/>
                <w:color w:val="243B53"/>
                <w:sz w:val="18"/>
              </w:rPr>
              <w:t>Related</w:t>
            </w:r>
          </w:p>
        </w:tc>
      </w:tr>
      <w:tr>
        <w:trPr>
          <w:cantSplit/>
        </w:trPr>
        <w:tc>
          <w:tcPr>
            <w:tcW w:type="dxa" w:w="2600"/>
            <w:tcMar>
              <w:top w:w="100" w:type="dxa"/>
              <w:start w:w="120" w:type="dxa"/>
              <w:bottom w:w="100" w:type="dxa"/>
              <w:end w:w="120" w:type="dxa"/>
            </w:tcMar>
            <w:vAlign w:val="center"/>
          </w:tcPr>
          <w:p>
            <w:pPr>
              <w:spacing w:after="0"/>
            </w:pPr>
            <w:r>
              <w:rPr>
                <w:rFonts w:ascii="Calibri" w:hAnsi="Calibri"/>
                <w:color w:val="243B53"/>
                <w:sz w:val="18"/>
              </w:rPr>
              <w:t>computer networks</w:t>
            </w:r>
          </w:p>
        </w:tc>
        <w:tc>
          <w:tcPr>
            <w:tcW w:type="dxa" w:w="3000"/>
            <w:tcMar>
              <w:top w:w="100" w:type="dxa"/>
              <w:start w:w="120" w:type="dxa"/>
              <w:bottom w:w="100" w:type="dxa"/>
              <w:end w:w="120" w:type="dxa"/>
            </w:tcMar>
            <w:vAlign w:val="center"/>
          </w:tcPr>
          <w:p>
            <w:pPr>
              <w:spacing w:after="0"/>
            </w:pPr>
            <w:r>
              <w:rPr>
                <w:rFonts w:ascii="Calibri" w:hAnsi="Calibri"/>
                <w:color w:val="243B53"/>
                <w:sz w:val="18"/>
              </w:rPr>
              <w:t>chocolate cake recipe</w:t>
            </w:r>
          </w:p>
        </w:tc>
        <w:tc>
          <w:tcPr>
            <w:tcW w:type="dxa" w:w="3760"/>
            <w:tcMar>
              <w:top w:w="100" w:type="dxa"/>
              <w:start w:w="120" w:type="dxa"/>
              <w:bottom w:w="100" w:type="dxa"/>
              <w:end w:w="120" w:type="dxa"/>
            </w:tcMar>
            <w:vAlign w:val="center"/>
          </w:tcPr>
          <w:p>
            <w:pPr>
              <w:spacing w:after="0"/>
            </w:pPr>
            <w:r>
              <w:rPr>
                <w:rFonts w:ascii="Calibri" w:hAnsi="Calibri"/>
                <w:color w:val="243B53"/>
                <w:sz w:val="18"/>
              </w:rPr>
              <w:t>Unrelated</w:t>
            </w:r>
          </w:p>
        </w:tc>
      </w:tr>
    </w:tbl>
    <w:p>
      <w:pPr>
        <w:spacing w:after="20"/>
      </w:pPr>
    </w:p>
    <w:p>
      <w:pPr>
        <w:pStyle w:val="Heading2"/>
      </w:pPr>
      <w:r>
        <w:t>Embeddings are learned representations</w:t>
      </w:r>
    </w:p>
    <w:p>
      <w:pPr>
        <w:pStyle w:val="ListBullet"/>
      </w:pPr>
      <w:r>
        <w:rPr>
          <w:rFonts w:ascii="Calibri" w:hAnsi="Calibri"/>
          <w:color w:val="243B53"/>
        </w:rPr>
        <w:t>They are not manually assigned coordinates.</w:t>
      </w:r>
    </w:p>
    <w:p>
      <w:pPr>
        <w:pStyle w:val="ListBullet"/>
      </w:pPr>
      <w:r>
        <w:rPr>
          <w:rFonts w:ascii="Calibri" w:hAnsi="Calibri"/>
          <w:color w:val="243B53"/>
        </w:rPr>
        <w:t>Individual dimensions usually do not have a simple label such as 'topic' or 'quality'.</w:t>
      </w:r>
    </w:p>
    <w:p>
      <w:pPr>
        <w:pStyle w:val="ListBullet"/>
      </w:pPr>
      <w:r>
        <w:rPr>
          <w:rFonts w:ascii="Calibri" w:hAnsi="Calibri"/>
          <w:color w:val="243B53"/>
        </w:rPr>
        <w:t>Quality depends on the model, training data, input language, domain, and task.</w:t>
      </w:r>
    </w:p>
    <w:p>
      <w:pPr>
        <w:pStyle w:val="ListBullet"/>
      </w:pPr>
      <w:r>
        <w:rPr>
          <w:rFonts w:ascii="Calibri" w:hAnsi="Calibri"/>
          <w:color w:val="243B53"/>
        </w:rPr>
        <w:t>The same text embedded by a different model can produce a completely different vector.</w:t>
      </w:r>
    </w:p>
    <w:p>
      <w:pPr>
        <w:pStyle w:val="ListBullet"/>
      </w:pPr>
      <w:r>
        <w:rPr>
          <w:rFonts w:ascii="Calibri" w:hAnsi="Calibri"/>
          <w:color w:val="243B53"/>
        </w:rPr>
        <w:t>A vector is useful mainly in relation to other vectors created by a compatible pipeline.</w:t>
      </w:r>
    </w:p>
    <w:p>
      <w:pPr>
        <w:keepLines/>
        <w:spacing w:before="100" w:after="180"/>
        <w:ind w:left="202" w:right="115"/>
        <w:shd w:fill="E7F8F7"/>
        <w:pBdr>
          <w:left w:val="single" w:sz="20" w:space="8" w:color="0EA5A8"/>
        </w:pBdr>
      </w:pPr>
      <w:r>
        <w:rPr>
          <w:rFonts w:ascii="Calibri" w:hAnsi="Calibri"/>
          <w:b/>
          <w:color w:val="0EA5A8"/>
          <w:sz w:val="20"/>
        </w:rPr>
        <w:t xml:space="preserve">Do not confuse  </w:t>
      </w:r>
      <w:r>
        <w:rPr>
          <w:rFonts w:ascii="Calibri" w:hAnsi="Calibri"/>
          <w:color w:val="243B53"/>
          <w:sz w:val="20"/>
        </w:rPr>
        <w:t>The embedding is the representation. The embedding model is the function that creates it. A vector database stores and searches many such representations.</w:t>
      </w:r>
    </w:p>
    <w:p>
      <w:pPr>
        <w:pStyle w:val="Heading2"/>
      </w:pPr>
      <w:r>
        <w:t>Tokens, chunks, and embeddings</w:t>
      </w:r>
    </w:p>
    <w:tbl>
      <w:tblPr>
        <w:tblStyle w:val="TableGrid"/>
        <w:tblW w:type="dxa" w:w="9360"/>
        <w:tblLayout w:type="fixed"/>
        <w:tblLook w:firstColumn="1" w:firstRow="1" w:lastColumn="0" w:lastRow="0" w:noHBand="0" w:noVBand="1" w:val="04A0"/>
        <w:jc w:val="left"/>
        <w:tblInd w:w="120" w:type="dxa"/>
      </w:tblPr>
      <w:tblGrid>
        <w:gridCol w:w="1500"/>
        <w:gridCol w:w="3820"/>
        <w:gridCol w:w="4040"/>
      </w:tblGrid>
      <w:tr>
        <w:trPr>
          <w:cantSplit/>
          <w:tblHeader w:val="true"/>
          <w:cantSplit/>
        </w:trPr>
        <w:tc>
          <w:tcPr>
            <w:tcW w:type="dxa" w:w="1500"/>
            <w:tcMar>
              <w:top w:w="100" w:type="dxa"/>
              <w:start w:w="120" w:type="dxa"/>
              <w:bottom w:w="100" w:type="dxa"/>
              <w:end w:w="120" w:type="dxa"/>
            </w:tcMar>
            <w:vAlign w:val="center"/>
            <w:shd w:fill="102A43"/>
          </w:tcPr>
          <w:p>
            <w:pPr>
              <w:spacing w:after="0"/>
            </w:pPr>
            <w:r>
              <w:rPr>
                <w:rFonts w:ascii="Calibri" w:hAnsi="Calibri"/>
                <w:b/>
                <w:color w:val="FFFFFF"/>
                <w:sz w:val="18"/>
              </w:rPr>
              <w:t>Term</w:t>
            </w:r>
          </w:p>
        </w:tc>
        <w:tc>
          <w:tcPr>
            <w:tcW w:type="dxa" w:w="3820"/>
            <w:tcMar>
              <w:top w:w="100" w:type="dxa"/>
              <w:start w:w="120" w:type="dxa"/>
              <w:bottom w:w="100" w:type="dxa"/>
              <w:end w:w="120" w:type="dxa"/>
            </w:tcMar>
            <w:vAlign w:val="center"/>
            <w:shd w:fill="102A43"/>
          </w:tcPr>
          <w:p>
            <w:pPr>
              <w:spacing w:after="0"/>
            </w:pPr>
            <w:r>
              <w:rPr>
                <w:rFonts w:ascii="Calibri" w:hAnsi="Calibri"/>
                <w:b/>
                <w:color w:val="FFFFFF"/>
                <w:sz w:val="18"/>
              </w:rPr>
              <w:t>Meaning</w:t>
            </w:r>
          </w:p>
        </w:tc>
        <w:tc>
          <w:tcPr>
            <w:tcW w:type="dxa" w:w="4040"/>
            <w:tcMar>
              <w:top w:w="100" w:type="dxa"/>
              <w:start w:w="120" w:type="dxa"/>
              <w:bottom w:w="100" w:type="dxa"/>
              <w:end w:w="120" w:type="dxa"/>
            </w:tcMar>
            <w:vAlign w:val="center"/>
            <w:shd w:fill="102A43"/>
          </w:tcPr>
          <w:p>
            <w:pPr>
              <w:spacing w:after="0"/>
            </w:pPr>
            <w:r>
              <w:rPr>
                <w:rFonts w:ascii="Calibri" w:hAnsi="Calibri"/>
                <w:b/>
                <w:color w:val="FFFFFF"/>
                <w:sz w:val="18"/>
              </w:rPr>
              <w:t>Why it matters</w:t>
            </w:r>
          </w:p>
        </w:tc>
      </w:tr>
      <w:tr>
        <w:trPr>
          <w:cantSplit/>
        </w:trPr>
        <w:tc>
          <w:tcPr>
            <w:tcW w:type="dxa" w:w="1500"/>
            <w:tcMar>
              <w:top w:w="100" w:type="dxa"/>
              <w:start w:w="120" w:type="dxa"/>
              <w:bottom w:w="100" w:type="dxa"/>
              <w:end w:w="120" w:type="dxa"/>
            </w:tcMar>
            <w:vAlign w:val="center"/>
          </w:tcPr>
          <w:p>
            <w:pPr>
              <w:spacing w:after="0"/>
            </w:pPr>
            <w:r>
              <w:rPr>
                <w:rFonts w:ascii="Calibri" w:hAnsi="Calibri"/>
                <w:color w:val="243B53"/>
                <w:sz w:val="18"/>
              </w:rPr>
              <w:t>Token</w:t>
            </w:r>
          </w:p>
        </w:tc>
        <w:tc>
          <w:tcPr>
            <w:tcW w:type="dxa" w:w="3820"/>
            <w:tcMar>
              <w:top w:w="100" w:type="dxa"/>
              <w:start w:w="120" w:type="dxa"/>
              <w:bottom w:w="100" w:type="dxa"/>
              <w:end w:w="120" w:type="dxa"/>
            </w:tcMar>
            <w:vAlign w:val="center"/>
          </w:tcPr>
          <w:p>
            <w:pPr>
              <w:spacing w:after="0"/>
            </w:pPr>
            <w:r>
              <w:rPr>
                <w:rFonts w:ascii="Calibri" w:hAnsi="Calibri"/>
                <w:color w:val="243B53"/>
                <w:sz w:val="18"/>
              </w:rPr>
              <w:t>A model-sized unit of text, often part of a word.</w:t>
            </w:r>
          </w:p>
        </w:tc>
        <w:tc>
          <w:tcPr>
            <w:tcW w:type="dxa" w:w="4040"/>
            <w:tcMar>
              <w:top w:w="100" w:type="dxa"/>
              <w:start w:w="120" w:type="dxa"/>
              <w:bottom w:w="100" w:type="dxa"/>
              <w:end w:w="120" w:type="dxa"/>
            </w:tcMar>
            <w:vAlign w:val="center"/>
          </w:tcPr>
          <w:p>
            <w:pPr>
              <w:spacing w:after="0"/>
            </w:pPr>
            <w:r>
              <w:rPr>
                <w:rFonts w:ascii="Calibri" w:hAnsi="Calibri"/>
                <w:color w:val="243B53"/>
                <w:sz w:val="18"/>
              </w:rPr>
              <w:t>Models have token limits and tokenizers differ.</w:t>
            </w:r>
          </w:p>
        </w:tc>
      </w:tr>
      <w:tr>
        <w:trPr>
          <w:cantSplit/>
        </w:trPr>
        <w:tc>
          <w:tcPr>
            <w:tcW w:type="dxa" w:w="1500"/>
            <w:shd w:fill="F7FAFC"/>
            <w:tcMar>
              <w:top w:w="100" w:type="dxa"/>
              <w:start w:w="120" w:type="dxa"/>
              <w:bottom w:w="100" w:type="dxa"/>
              <w:end w:w="120" w:type="dxa"/>
            </w:tcMar>
            <w:vAlign w:val="center"/>
          </w:tcPr>
          <w:p>
            <w:pPr>
              <w:spacing w:after="0"/>
            </w:pPr>
            <w:r>
              <w:rPr>
                <w:rFonts w:ascii="Calibri" w:hAnsi="Calibri"/>
                <w:color w:val="243B53"/>
                <w:sz w:val="18"/>
              </w:rPr>
              <w:t>Chunk</w:t>
            </w:r>
          </w:p>
        </w:tc>
        <w:tc>
          <w:tcPr>
            <w:tcW w:type="dxa" w:w="3820"/>
            <w:shd w:fill="F7FAFC"/>
            <w:tcMar>
              <w:top w:w="100" w:type="dxa"/>
              <w:start w:w="120" w:type="dxa"/>
              <w:bottom w:w="100" w:type="dxa"/>
              <w:end w:w="120" w:type="dxa"/>
            </w:tcMar>
            <w:vAlign w:val="center"/>
          </w:tcPr>
          <w:p>
            <w:pPr>
              <w:spacing w:after="0"/>
            </w:pPr>
            <w:r>
              <w:rPr>
                <w:rFonts w:ascii="Calibri" w:hAnsi="Calibri"/>
                <w:color w:val="243B53"/>
                <w:sz w:val="18"/>
              </w:rPr>
              <w:t>A selected segment of a document sent to the model.</w:t>
            </w:r>
          </w:p>
        </w:tc>
        <w:tc>
          <w:tcPr>
            <w:tcW w:type="dxa" w:w="4040"/>
            <w:shd w:fill="F7FAFC"/>
            <w:tcMar>
              <w:top w:w="100" w:type="dxa"/>
              <w:start w:w="120" w:type="dxa"/>
              <w:bottom w:w="100" w:type="dxa"/>
              <w:end w:w="120" w:type="dxa"/>
            </w:tcMar>
            <w:vAlign w:val="center"/>
          </w:tcPr>
          <w:p>
            <w:pPr>
              <w:spacing w:after="0"/>
            </w:pPr>
            <w:r>
              <w:rPr>
                <w:rFonts w:ascii="Calibri" w:hAnsi="Calibri"/>
                <w:color w:val="243B53"/>
                <w:sz w:val="18"/>
              </w:rPr>
              <w:t>Chunk boundaries strongly affect retrieval.</w:t>
            </w:r>
          </w:p>
        </w:tc>
      </w:tr>
      <w:tr>
        <w:trPr>
          <w:cantSplit/>
        </w:trPr>
        <w:tc>
          <w:tcPr>
            <w:tcW w:type="dxa" w:w="1500"/>
            <w:tcMar>
              <w:top w:w="100" w:type="dxa"/>
              <w:start w:w="120" w:type="dxa"/>
              <w:bottom w:w="100" w:type="dxa"/>
              <w:end w:w="120" w:type="dxa"/>
            </w:tcMar>
            <w:vAlign w:val="center"/>
          </w:tcPr>
          <w:p>
            <w:pPr>
              <w:spacing w:after="0"/>
            </w:pPr>
            <w:r>
              <w:rPr>
                <w:rFonts w:ascii="Calibri" w:hAnsi="Calibri"/>
                <w:color w:val="243B53"/>
                <w:sz w:val="18"/>
              </w:rPr>
              <w:t>Embedding</w:t>
            </w:r>
          </w:p>
        </w:tc>
        <w:tc>
          <w:tcPr>
            <w:tcW w:type="dxa" w:w="3820"/>
            <w:tcMar>
              <w:top w:w="100" w:type="dxa"/>
              <w:start w:w="120" w:type="dxa"/>
              <w:bottom w:w="100" w:type="dxa"/>
              <w:end w:w="120" w:type="dxa"/>
            </w:tcMar>
            <w:vAlign w:val="center"/>
          </w:tcPr>
          <w:p>
            <w:pPr>
              <w:spacing w:after="0"/>
            </w:pPr>
            <w:r>
              <w:rPr>
                <w:rFonts w:ascii="Calibri" w:hAnsi="Calibri"/>
                <w:color w:val="243B53"/>
                <w:sz w:val="18"/>
              </w:rPr>
              <w:t>The vector produced for one input chunk or item.</w:t>
            </w:r>
          </w:p>
        </w:tc>
        <w:tc>
          <w:tcPr>
            <w:tcW w:type="dxa" w:w="4040"/>
            <w:tcMar>
              <w:top w:w="100" w:type="dxa"/>
              <w:start w:w="120" w:type="dxa"/>
              <w:bottom w:w="100" w:type="dxa"/>
              <w:end w:w="120" w:type="dxa"/>
            </w:tcMar>
            <w:vAlign w:val="center"/>
          </w:tcPr>
          <w:p>
            <w:pPr>
              <w:spacing w:after="0"/>
            </w:pPr>
            <w:r>
              <w:rPr>
                <w:rFonts w:ascii="Calibri" w:hAnsi="Calibri"/>
                <w:color w:val="243B53"/>
                <w:sz w:val="18"/>
              </w:rPr>
              <w:t>It is reused only under compatible configuration.</w:t>
            </w:r>
          </w:p>
        </w:tc>
      </w:tr>
      <w:tr>
        <w:trPr>
          <w:cantSplit/>
        </w:trPr>
        <w:tc>
          <w:tcPr>
            <w:tcW w:type="dxa" w:w="1500"/>
            <w:shd w:fill="F7FAFC"/>
            <w:tcMar>
              <w:top w:w="100" w:type="dxa"/>
              <w:start w:w="120" w:type="dxa"/>
              <w:bottom w:w="100" w:type="dxa"/>
              <w:end w:w="120" w:type="dxa"/>
            </w:tcMar>
            <w:vAlign w:val="center"/>
          </w:tcPr>
          <w:p>
            <w:pPr>
              <w:spacing w:after="0"/>
            </w:pPr>
            <w:r>
              <w:rPr>
                <w:rFonts w:ascii="Calibri" w:hAnsi="Calibri"/>
                <w:color w:val="243B53"/>
                <w:sz w:val="18"/>
              </w:rPr>
              <w:t>Metadata</w:t>
            </w:r>
          </w:p>
        </w:tc>
        <w:tc>
          <w:tcPr>
            <w:tcW w:type="dxa" w:w="3820"/>
            <w:shd w:fill="F7FAFC"/>
            <w:tcMar>
              <w:top w:w="100" w:type="dxa"/>
              <w:start w:w="120" w:type="dxa"/>
              <w:bottom w:w="100" w:type="dxa"/>
              <w:end w:w="120" w:type="dxa"/>
            </w:tcMar>
            <w:vAlign w:val="center"/>
          </w:tcPr>
          <w:p>
            <w:pPr>
              <w:spacing w:after="0"/>
            </w:pPr>
            <w:r>
              <w:rPr>
                <w:rFonts w:ascii="Calibri" w:hAnsi="Calibri"/>
                <w:color w:val="243B53"/>
                <w:sz w:val="18"/>
              </w:rPr>
              <w:t>Fields such as source, page, course, or access level.</w:t>
            </w:r>
          </w:p>
        </w:tc>
        <w:tc>
          <w:tcPr>
            <w:tcW w:type="dxa" w:w="4040"/>
            <w:shd w:fill="F7FAFC"/>
            <w:tcMar>
              <w:top w:w="100" w:type="dxa"/>
              <w:start w:w="120" w:type="dxa"/>
              <w:bottom w:w="100" w:type="dxa"/>
              <w:end w:w="120" w:type="dxa"/>
            </w:tcMar>
            <w:vAlign w:val="center"/>
          </w:tcPr>
          <w:p>
            <w:pPr>
              <w:spacing w:after="0"/>
            </w:pPr>
            <w:r>
              <w:rPr>
                <w:rFonts w:ascii="Calibri" w:hAnsi="Calibri"/>
                <w:color w:val="243B53"/>
                <w:sz w:val="18"/>
              </w:rPr>
              <w:t>Filters and provenance depend on it.</w:t>
            </w:r>
          </w:p>
        </w:tc>
      </w:tr>
    </w:tbl>
    <w:p>
      <w:pPr>
        <w:spacing w:after="20"/>
      </w:pPr>
    </w:p>
    <w:p>
      <w:r>
        <w:br w:type="page"/>
      </w:r>
    </w:p>
    <w:p>
      <w:pPr>
        <w:pStyle w:val="Heading1"/>
      </w:pPr>
      <w:r>
        <w:t>2. What is a vector space?</w:t>
      </w:r>
    </w:p>
    <w:p>
      <w:r>
        <w:rPr>
          <w:rFonts w:ascii="Calibri" w:hAnsi="Calibri"/>
          <w:i w:val="0"/>
          <w:color w:val="243B53"/>
        </w:rPr>
        <w:t>A vector space is the coordinate system in which vectors live. In school mathematics, a point may have two coordinates such as (3, 4). Embeddings use the same broad idea but often have hundreds or thousands of coordinates.</w:t>
      </w:r>
    </w:p>
    <w:p>
      <w:pPr>
        <w:spacing w:before="80" w:after="60"/>
        <w:jc w:val="center"/>
      </w:pPr>
      <w:r>
        <w:drawing>
          <wp:inline xmlns:a="http://schemas.openxmlformats.org/drawingml/2006/main" xmlns:pic="http://schemas.openxmlformats.org/drawingml/2006/picture">
            <wp:extent cx="5897880" cy="2988259"/>
            <wp:docPr id="2" name="Picture 2" title="Vector-space clusters" descr="A two-dimensional scatter plot shows clusters for operating systems, databases, and computer networks. A query about process scheduling is nearest to the operating-systems cluster."/>
            <wp:cNvGraphicFramePr>
              <a:graphicFrameLocks noChangeAspect="1"/>
            </wp:cNvGraphicFramePr>
            <a:graphic>
              <a:graphicData uri="http://schemas.openxmlformats.org/drawingml/2006/picture">
                <pic:pic>
                  <pic:nvPicPr>
                    <pic:cNvPr id="0" name="vector_space.png"/>
                    <pic:cNvPicPr/>
                  </pic:nvPicPr>
                  <pic:blipFill>
                    <a:blip r:embed="rId12"/>
                    <a:stretch>
                      <a:fillRect/>
                    </a:stretch>
                  </pic:blipFill>
                  <pic:spPr>
                    <a:xfrm>
                      <a:off x="0" y="0"/>
                      <a:ext cx="5897880" cy="2988259"/>
                    </a:xfrm>
                    <a:prstGeom prst="rect"/>
                  </pic:spPr>
                </pic:pic>
              </a:graphicData>
            </a:graphic>
          </wp:inline>
        </w:drawing>
      </w:r>
    </w:p>
    <w:p>
      <w:pPr>
        <w:spacing w:after="160"/>
        <w:jc w:val="center"/>
      </w:pPr>
      <w:r>
        <w:rPr>
          <w:rFonts w:ascii="Calibri" w:hAnsi="Calibri"/>
          <w:i/>
          <w:color w:val="627D98"/>
          <w:sz w:val="17"/>
        </w:rPr>
        <w:t>Figure 2. A 2D illustration; real embedding spaces are high-dimensional.</w:t>
      </w:r>
    </w:p>
    <w:p>
      <w:pPr>
        <w:keepLines/>
        <w:spacing w:before="100" w:after="180"/>
        <w:ind w:left="202" w:right="115"/>
        <w:shd w:fill="EAF2FF"/>
        <w:pBdr>
          <w:left w:val="single" w:sz="20" w:space="8" w:color="1363DF"/>
        </w:pBdr>
      </w:pPr>
      <w:r>
        <w:rPr>
          <w:rFonts w:ascii="Calibri" w:hAnsi="Calibri"/>
          <w:b/>
          <w:color w:val="1363DF"/>
          <w:sz w:val="20"/>
        </w:rPr>
        <w:t xml:space="preserve">Dimension  </w:t>
      </w:r>
      <w:r>
        <w:rPr>
          <w:rFonts w:ascii="Calibri" w:hAnsi="Calibri"/>
          <w:color w:val="243B53"/>
          <w:sz w:val="20"/>
        </w:rPr>
        <w:t>The dimension is the number of values in a vector. For example, a 384-dimensional model returns exactly 384 numbers for every valid input.</w:t>
      </w:r>
    </w:p>
    <w:p>
      <w:pPr>
        <w:pStyle w:val="Heading2"/>
      </w:pPr>
      <w:r>
        <w:t>Why high dimensions?</w:t>
      </w:r>
    </w:p>
    <w:p>
      <w:r>
        <w:rPr>
          <w:rFonts w:ascii="Calibri" w:hAnsi="Calibri"/>
          <w:i w:val="0"/>
          <w:color w:val="243B53"/>
        </w:rPr>
        <w:t>Language contains many overlapping patterns: topic, intent, style, entities, syntax, and context. A high-dimensional space gives a model enough capacity to represent these relationships. We normally do not inspect each dimension separately; we compare complete vectors.</w:t>
      </w:r>
    </w:p>
    <w:p>
      <w:pPr>
        <w:pStyle w:val="Heading2"/>
      </w:pPr>
      <w:r>
        <w:t>A crucial compatibility rule</w:t>
      </w:r>
    </w:p>
    <w:p>
      <w:r>
        <w:rPr>
          <w:rFonts w:ascii="Calibri" w:hAnsi="Calibri"/>
          <w:i w:val="0"/>
          <w:color w:val="243B53"/>
        </w:rPr>
        <w:t>Vectors from different models are generally not coordinates in the same space. Equal dimension does not guarantee compatibility. Two 384-dimensional models may arrange meaning differently because they were trained with different data and objectives.</w:t>
      </w:r>
    </w:p>
    <w:p>
      <w:pPr>
        <w:keepLines/>
        <w:spacing w:before="100" w:after="180"/>
        <w:ind w:left="202" w:right="115"/>
        <w:shd w:fill="FFF4E5"/>
        <w:pBdr>
          <w:left w:val="single" w:sz="20" w:space="8" w:color="D97706"/>
        </w:pBdr>
      </w:pPr>
      <w:r>
        <w:rPr>
          <w:rFonts w:ascii="Calibri" w:hAnsi="Calibri"/>
          <w:b/>
          <w:color w:val="D97706"/>
          <w:sz w:val="20"/>
        </w:rPr>
        <w:t xml:space="preserve">EmbedGit rule  </w:t>
      </w:r>
      <w:r>
        <w:rPr>
          <w:rFonts w:ascii="Calibri" w:hAnsi="Calibri"/>
          <w:color w:val="243B53"/>
          <w:sz w:val="20"/>
        </w:rPr>
        <w:t>A model change is a major version change for the MVP. Existing vectors are marked stale and regenerated rather than mixed blindly with new vectors.</w:t>
      </w:r>
    </w:p>
    <w:p>
      <w:r>
        <w:br w:type="page"/>
      </w:r>
    </w:p>
    <w:p>
      <w:pPr>
        <w:pStyle w:val="Heading1"/>
      </w:pPr>
      <w:r>
        <w:t>3. How do we compare vectors?</w:t>
      </w:r>
    </w:p>
    <w:p>
      <w:r>
        <w:rPr>
          <w:rFonts w:ascii="Calibri" w:hAnsi="Calibri"/>
          <w:i w:val="0"/>
          <w:color w:val="243B53"/>
        </w:rPr>
        <w:t>Similarity search compares a query vector with stored vectors and ranks the nearest candidates. The metric must match how the model was designed and whether vectors were normalized.</w:t>
      </w:r>
    </w:p>
    <w:tbl>
      <w:tblPr>
        <w:tblStyle w:val="TableGrid"/>
        <w:tblW w:type="dxa" w:w="9360"/>
        <w:tblLayout w:type="fixed"/>
        <w:tblLook w:firstColumn="1" w:firstRow="1" w:lastColumn="0" w:lastRow="0" w:noHBand="0" w:noVBand="1" w:val="04A0"/>
        <w:jc w:val="left"/>
        <w:tblInd w:w="120" w:type="dxa"/>
      </w:tblPr>
      <w:tblGrid>
        <w:gridCol w:w="1900"/>
        <w:gridCol w:w="4000"/>
        <w:gridCol w:w="3460"/>
      </w:tblGrid>
      <w:tr>
        <w:trPr>
          <w:cantSplit/>
          <w:tblHeader w:val="true"/>
          <w:cantSplit/>
        </w:trPr>
        <w:tc>
          <w:tcPr>
            <w:tcW w:type="dxa" w:w="1900"/>
            <w:tcMar>
              <w:top w:w="100" w:type="dxa"/>
              <w:start w:w="120" w:type="dxa"/>
              <w:bottom w:w="100" w:type="dxa"/>
              <w:end w:w="120" w:type="dxa"/>
            </w:tcMar>
            <w:vAlign w:val="center"/>
            <w:shd w:fill="102A43"/>
          </w:tcPr>
          <w:p>
            <w:pPr>
              <w:spacing w:after="0"/>
            </w:pPr>
            <w:r>
              <w:rPr>
                <w:rFonts w:ascii="Calibri" w:hAnsi="Calibri"/>
                <w:b/>
                <w:color w:val="FFFFFF"/>
                <w:sz w:val="18"/>
              </w:rPr>
              <w:t>Metric</w:t>
            </w:r>
          </w:p>
        </w:tc>
        <w:tc>
          <w:tcPr>
            <w:tcW w:type="dxa" w:w="4000"/>
            <w:tcMar>
              <w:top w:w="100" w:type="dxa"/>
              <w:start w:w="120" w:type="dxa"/>
              <w:bottom w:w="100" w:type="dxa"/>
              <w:end w:w="120" w:type="dxa"/>
            </w:tcMar>
            <w:vAlign w:val="center"/>
            <w:shd w:fill="102A43"/>
          </w:tcPr>
          <w:p>
            <w:pPr>
              <w:spacing w:after="0"/>
            </w:pPr>
            <w:r>
              <w:rPr>
                <w:rFonts w:ascii="Calibri" w:hAnsi="Calibri"/>
                <w:b/>
                <w:color w:val="FFFFFF"/>
                <w:sz w:val="18"/>
              </w:rPr>
              <w:t>Intuition</w:t>
            </w:r>
          </w:p>
        </w:tc>
        <w:tc>
          <w:tcPr>
            <w:tcW w:type="dxa" w:w="3460"/>
            <w:tcMar>
              <w:top w:w="100" w:type="dxa"/>
              <w:start w:w="120" w:type="dxa"/>
              <w:bottom w:w="100" w:type="dxa"/>
              <w:end w:w="120" w:type="dxa"/>
            </w:tcMar>
            <w:vAlign w:val="center"/>
            <w:shd w:fill="102A43"/>
          </w:tcPr>
          <w:p>
            <w:pPr>
              <w:spacing w:after="0"/>
            </w:pPr>
            <w:r>
              <w:rPr>
                <w:rFonts w:ascii="Calibri" w:hAnsi="Calibri"/>
                <w:b/>
                <w:color w:val="FFFFFF"/>
                <w:sz w:val="18"/>
              </w:rPr>
              <w:t>Typical caution</w:t>
            </w:r>
          </w:p>
        </w:tc>
      </w:tr>
      <w:tr>
        <w:trPr>
          <w:cantSplit/>
        </w:trPr>
        <w:tc>
          <w:tcPr>
            <w:tcW w:type="dxa" w:w="1900"/>
            <w:tcMar>
              <w:top w:w="100" w:type="dxa"/>
              <w:start w:w="120" w:type="dxa"/>
              <w:bottom w:w="100" w:type="dxa"/>
              <w:end w:w="120" w:type="dxa"/>
            </w:tcMar>
            <w:vAlign w:val="center"/>
          </w:tcPr>
          <w:p>
            <w:pPr>
              <w:spacing w:after="0"/>
            </w:pPr>
            <w:r>
              <w:rPr>
                <w:rFonts w:ascii="Calibri" w:hAnsi="Calibri"/>
                <w:color w:val="243B53"/>
                <w:sz w:val="18"/>
              </w:rPr>
              <w:t>Cosine similarity</w:t>
            </w:r>
          </w:p>
        </w:tc>
        <w:tc>
          <w:tcPr>
            <w:tcW w:type="dxa" w:w="4000"/>
            <w:tcMar>
              <w:top w:w="100" w:type="dxa"/>
              <w:start w:w="120" w:type="dxa"/>
              <w:bottom w:w="100" w:type="dxa"/>
              <w:end w:w="120" w:type="dxa"/>
            </w:tcMar>
            <w:vAlign w:val="center"/>
          </w:tcPr>
          <w:p>
            <w:pPr>
              <w:spacing w:after="0"/>
            </w:pPr>
            <w:r>
              <w:rPr>
                <w:rFonts w:ascii="Calibri" w:hAnsi="Calibri"/>
                <w:color w:val="243B53"/>
                <w:sz w:val="18"/>
              </w:rPr>
              <w:t>Compares direction; 1 means same direction, 0 means orthogonal.</w:t>
            </w:r>
          </w:p>
        </w:tc>
        <w:tc>
          <w:tcPr>
            <w:tcW w:type="dxa" w:w="3460"/>
            <w:tcMar>
              <w:top w:w="100" w:type="dxa"/>
              <w:start w:w="120" w:type="dxa"/>
              <w:bottom w:w="100" w:type="dxa"/>
              <w:end w:w="120" w:type="dxa"/>
            </w:tcMar>
            <w:vAlign w:val="center"/>
          </w:tcPr>
          <w:p>
            <w:pPr>
              <w:spacing w:after="0"/>
            </w:pPr>
            <w:r>
              <w:rPr>
                <w:rFonts w:ascii="Calibri" w:hAnsi="Calibri"/>
                <w:color w:val="243B53"/>
                <w:sz w:val="18"/>
              </w:rPr>
              <w:t>Magnitude is ignored. Often used for text embeddings.</w:t>
            </w:r>
          </w:p>
        </w:tc>
      </w:tr>
      <w:tr>
        <w:trPr>
          <w:cantSplit/>
        </w:trPr>
        <w:tc>
          <w:tcPr>
            <w:tcW w:type="dxa" w:w="1900"/>
            <w:shd w:fill="F7FAFC"/>
            <w:tcMar>
              <w:top w:w="100" w:type="dxa"/>
              <w:start w:w="120" w:type="dxa"/>
              <w:bottom w:w="100" w:type="dxa"/>
              <w:end w:w="120" w:type="dxa"/>
            </w:tcMar>
            <w:vAlign w:val="center"/>
          </w:tcPr>
          <w:p>
            <w:pPr>
              <w:spacing w:after="0"/>
            </w:pPr>
            <w:r>
              <w:rPr>
                <w:rFonts w:ascii="Calibri" w:hAnsi="Calibri"/>
                <w:color w:val="243B53"/>
                <w:sz w:val="18"/>
              </w:rPr>
              <w:t>Dot product</w:t>
            </w:r>
          </w:p>
        </w:tc>
        <w:tc>
          <w:tcPr>
            <w:tcW w:type="dxa" w:w="4000"/>
            <w:shd w:fill="F7FAFC"/>
            <w:tcMar>
              <w:top w:w="100" w:type="dxa"/>
              <w:start w:w="120" w:type="dxa"/>
              <w:bottom w:w="100" w:type="dxa"/>
              <w:end w:w="120" w:type="dxa"/>
            </w:tcMar>
            <w:vAlign w:val="center"/>
          </w:tcPr>
          <w:p>
            <w:pPr>
              <w:spacing w:after="0"/>
            </w:pPr>
            <w:r>
              <w:rPr>
                <w:rFonts w:ascii="Calibri" w:hAnsi="Calibri"/>
                <w:color w:val="243B53"/>
                <w:sz w:val="18"/>
              </w:rPr>
              <w:t>Measures directional agreement and magnitude together.</w:t>
            </w:r>
          </w:p>
        </w:tc>
        <w:tc>
          <w:tcPr>
            <w:tcW w:type="dxa" w:w="3460"/>
            <w:shd w:fill="F7FAFC"/>
            <w:tcMar>
              <w:top w:w="100" w:type="dxa"/>
              <w:start w:w="120" w:type="dxa"/>
              <w:bottom w:w="100" w:type="dxa"/>
              <w:end w:w="120" w:type="dxa"/>
            </w:tcMar>
            <w:vAlign w:val="center"/>
          </w:tcPr>
          <w:p>
            <w:pPr>
              <w:spacing w:after="0"/>
            </w:pPr>
            <w:r>
              <w:rPr>
                <w:rFonts w:ascii="Calibri" w:hAnsi="Calibri"/>
                <w:color w:val="243B53"/>
                <w:sz w:val="18"/>
              </w:rPr>
              <w:t>For unit-normalized vectors it matches cosine ranking.</w:t>
            </w:r>
          </w:p>
        </w:tc>
      </w:tr>
      <w:tr>
        <w:trPr>
          <w:cantSplit/>
        </w:trPr>
        <w:tc>
          <w:tcPr>
            <w:tcW w:type="dxa" w:w="1900"/>
            <w:tcMar>
              <w:top w:w="100" w:type="dxa"/>
              <w:start w:w="120" w:type="dxa"/>
              <w:bottom w:w="100" w:type="dxa"/>
              <w:end w:w="120" w:type="dxa"/>
            </w:tcMar>
            <w:vAlign w:val="center"/>
          </w:tcPr>
          <w:p>
            <w:pPr>
              <w:spacing w:after="0"/>
            </w:pPr>
            <w:r>
              <w:rPr>
                <w:rFonts w:ascii="Calibri" w:hAnsi="Calibri"/>
                <w:color w:val="243B53"/>
                <w:sz w:val="18"/>
              </w:rPr>
              <w:t>Euclidean distance</w:t>
            </w:r>
          </w:p>
        </w:tc>
        <w:tc>
          <w:tcPr>
            <w:tcW w:type="dxa" w:w="4000"/>
            <w:tcMar>
              <w:top w:w="100" w:type="dxa"/>
              <w:start w:w="120" w:type="dxa"/>
              <w:bottom w:w="100" w:type="dxa"/>
              <w:end w:w="120" w:type="dxa"/>
            </w:tcMar>
            <w:vAlign w:val="center"/>
          </w:tcPr>
          <w:p>
            <w:pPr>
              <w:spacing w:after="0"/>
            </w:pPr>
            <w:r>
              <w:rPr>
                <w:rFonts w:ascii="Calibri" w:hAnsi="Calibri"/>
                <w:color w:val="243B53"/>
                <w:sz w:val="18"/>
              </w:rPr>
              <w:t>Straight-line distance between points; smaller is closer.</w:t>
            </w:r>
          </w:p>
        </w:tc>
        <w:tc>
          <w:tcPr>
            <w:tcW w:type="dxa" w:w="3460"/>
            <w:tcMar>
              <w:top w:w="100" w:type="dxa"/>
              <w:start w:w="120" w:type="dxa"/>
              <w:bottom w:w="100" w:type="dxa"/>
              <w:end w:w="120" w:type="dxa"/>
            </w:tcMar>
            <w:vAlign w:val="center"/>
          </w:tcPr>
          <w:p>
            <w:pPr>
              <w:spacing w:after="0"/>
            </w:pPr>
            <w:r>
              <w:rPr>
                <w:rFonts w:ascii="Calibri" w:hAnsi="Calibri"/>
                <w:color w:val="243B53"/>
                <w:sz w:val="18"/>
              </w:rPr>
              <w:t>Scale and normalization affect the result.</w:t>
            </w:r>
          </w:p>
        </w:tc>
      </w:tr>
    </w:tbl>
    <w:p>
      <w:pPr>
        <w:spacing w:after="20"/>
      </w:pPr>
    </w:p>
    <w:p>
      <w:pPr>
        <w:pStyle w:val="Heading2"/>
      </w:pPr>
      <w:r>
        <w:t>A tiny worked example</w:t>
      </w:r>
    </w:p>
    <w:p>
      <w:r>
        <w:rPr>
          <w:rFonts w:ascii="Calibri" w:hAnsi="Calibri"/>
          <w:i w:val="0"/>
          <w:color w:val="243B53"/>
        </w:rPr>
        <w:t>Suppose a normalized query vector is q = [1, 0]. Candidate A = [0.9, 0.1] points in almost the same direction, while candidate B = [0, 1] is perpendicular. Cosine similarity will rank A above B.</w:t>
      </w:r>
    </w:p>
    <w:p>
      <w:pPr>
        <w:pStyle w:val="CodeBlock"/>
      </w:pPr>
      <w:r>
        <w:t>cosine(q, A) ~= 0.994</w:t>
        <w:br/>
        <w:t>cosine(q, B)  = 0.000</w:t>
        <w:br/>
        <w:br/>
        <w:t>Result: A is the more semantically similar candidate.</w:t>
      </w:r>
    </w:p>
    <w:p>
      <w:pPr>
        <w:pStyle w:val="Heading2"/>
      </w:pPr>
      <w:r>
        <w:t>Nearest neighbours and top-k</w:t>
      </w:r>
    </w:p>
    <w:p>
      <w:r>
        <w:rPr>
          <w:rFonts w:ascii="Calibri" w:hAnsi="Calibri"/>
          <w:i w:val="0"/>
          <w:color w:val="243B53"/>
        </w:rPr>
        <w:t>The nearest neighbours of a query are its closest stored vectors. A top-k search returns the k highest-ranked candidates, often followed by metadata filtering, reranking, or an application-specific quality check.</w:t>
      </w:r>
    </w:p>
    <w:p>
      <w:pPr>
        <w:pStyle w:val="ListBullet"/>
      </w:pPr>
      <w:r>
        <w:rPr>
          <w:rFonts w:ascii="Calibri" w:hAnsi="Calibri"/>
          <w:color w:val="243B53"/>
        </w:rPr>
        <w:t>A high similarity score does not prove factual correctness.</w:t>
      </w:r>
    </w:p>
    <w:p>
      <w:pPr>
        <w:pStyle w:val="ListBullet"/>
      </w:pPr>
      <w:r>
        <w:rPr>
          <w:rFonts w:ascii="Calibri" w:hAnsi="Calibri"/>
          <w:color w:val="243B53"/>
        </w:rPr>
        <w:t>A threshold that works for one model or dataset may fail for another.</w:t>
      </w:r>
    </w:p>
    <w:p>
      <w:pPr>
        <w:pStyle w:val="ListBullet"/>
      </w:pPr>
      <w:r>
        <w:rPr>
          <w:rFonts w:ascii="Calibri" w:hAnsi="Calibri"/>
          <w:color w:val="243B53"/>
        </w:rPr>
        <w:t>Approximate nearest-neighbour indexes trade a small amount of recall for much faster search.</w:t>
      </w:r>
    </w:p>
    <w:p>
      <w:pPr>
        <w:pStyle w:val="ListBullet"/>
      </w:pPr>
      <w:r>
        <w:rPr>
          <w:rFonts w:ascii="Calibri" w:hAnsi="Calibri"/>
          <w:color w:val="243B53"/>
        </w:rPr>
        <w:t>Retrieval must be evaluated with labeled queries, not with a few impressive demonstrations.</w:t>
      </w:r>
    </w:p>
    <w:p>
      <w:pPr>
        <w:keepLines/>
        <w:spacing w:before="100" w:after="180"/>
        <w:ind w:left="202" w:right="115"/>
        <w:shd w:fill="E7F8F7"/>
        <w:pBdr>
          <w:left w:val="single" w:sz="20" w:space="8" w:color="0EA5A8"/>
        </w:pBdr>
      </w:pPr>
      <w:r>
        <w:rPr>
          <w:rFonts w:ascii="Calibri" w:hAnsi="Calibri"/>
          <w:b/>
          <w:color w:val="0EA5A8"/>
          <w:sz w:val="20"/>
        </w:rPr>
        <w:t xml:space="preserve">Normalization  </w:t>
      </w:r>
      <w:r>
        <w:rPr>
          <w:rFonts w:ascii="Calibri" w:hAnsi="Calibri"/>
          <w:color w:val="243B53"/>
          <w:sz w:val="20"/>
        </w:rPr>
        <w:t>L2 normalization scales a vector to length 1. It changes how metrics behave and must be recorded as part of the embedding configuration.</w:t>
      </w:r>
    </w:p>
    <w:p>
      <w:r>
        <w:br w:type="page"/>
      </w:r>
    </w:p>
    <w:p>
      <w:pPr>
        <w:pStyle w:val="Heading1"/>
      </w:pPr>
      <w:r>
        <w:t>4. How embeddings are created</w:t>
      </w:r>
    </w:p>
    <w:p>
      <w:pPr>
        <w:pStyle w:val="ListNumber"/>
      </w:pPr>
      <w:r>
        <w:rPr>
          <w:rFonts w:ascii="Calibri" w:hAnsi="Calibri"/>
          <w:b/>
          <w:color w:val="102A43"/>
        </w:rPr>
        <w:t xml:space="preserve">Load: </w:t>
      </w:r>
      <w:r>
        <w:rPr>
          <w:rFonts w:ascii="Calibri" w:hAnsi="Calibri"/>
          <w:color w:val="243B53"/>
        </w:rPr>
        <w:t>Read text and metadata from TXT, Markdown, PDF, or another source.</w:t>
      </w:r>
    </w:p>
    <w:p>
      <w:pPr>
        <w:pStyle w:val="ListNumber"/>
      </w:pPr>
      <w:r>
        <w:rPr>
          <w:rFonts w:ascii="Calibri" w:hAnsi="Calibri"/>
          <w:b/>
          <w:color w:val="102A43"/>
        </w:rPr>
        <w:t xml:space="preserve">Normalize: </w:t>
      </w:r>
      <w:r>
        <w:rPr>
          <w:rFonts w:ascii="Calibri" w:hAnsi="Calibri"/>
          <w:color w:val="243B53"/>
        </w:rPr>
        <w:t>Apply deterministic rules such as Unicode normalization and whitespace cleanup.</w:t>
      </w:r>
    </w:p>
    <w:p>
      <w:pPr>
        <w:pStyle w:val="ListNumber"/>
      </w:pPr>
      <w:r>
        <w:rPr>
          <w:rFonts w:ascii="Calibri" w:hAnsi="Calibri"/>
          <w:b/>
          <w:color w:val="102A43"/>
        </w:rPr>
        <w:t xml:space="preserve">Chunk: </w:t>
      </w:r>
      <w:r>
        <w:rPr>
          <w:rFonts w:ascii="Calibri" w:hAnsi="Calibri"/>
          <w:color w:val="243B53"/>
        </w:rPr>
        <w:t>Split content into model-sized, retrieval-friendly segments.</w:t>
      </w:r>
    </w:p>
    <w:p>
      <w:pPr>
        <w:pStyle w:val="ListNumber"/>
      </w:pPr>
      <w:r>
        <w:rPr>
          <w:rFonts w:ascii="Calibri" w:hAnsi="Calibri"/>
          <w:b/>
          <w:color w:val="102A43"/>
        </w:rPr>
        <w:t xml:space="preserve">Tokenize: </w:t>
      </w:r>
      <w:r>
        <w:rPr>
          <w:rFonts w:ascii="Calibri" w:hAnsi="Calibri"/>
          <w:color w:val="243B53"/>
        </w:rPr>
        <w:t>Convert text into the model's token IDs.</w:t>
      </w:r>
    </w:p>
    <w:p>
      <w:pPr>
        <w:pStyle w:val="ListNumber"/>
      </w:pPr>
      <w:r>
        <w:rPr>
          <w:rFonts w:ascii="Calibri" w:hAnsi="Calibri"/>
          <w:b/>
          <w:color w:val="102A43"/>
        </w:rPr>
        <w:t xml:space="preserve">Run model: </w:t>
      </w:r>
      <w:r>
        <w:rPr>
          <w:rFonts w:ascii="Calibri" w:hAnsi="Calibri"/>
          <w:color w:val="243B53"/>
        </w:rPr>
        <w:t>Produce hidden representations and pool them into one fixed-length vector.</w:t>
      </w:r>
    </w:p>
    <w:p>
      <w:pPr>
        <w:pStyle w:val="ListNumber"/>
      </w:pPr>
      <w:r>
        <w:rPr>
          <w:rFonts w:ascii="Calibri" w:hAnsi="Calibri"/>
          <w:b/>
          <w:color w:val="102A43"/>
        </w:rPr>
        <w:t xml:space="preserve">Normalize vector: </w:t>
      </w:r>
      <w:r>
        <w:rPr>
          <w:rFonts w:ascii="Calibri" w:hAnsi="Calibri"/>
          <w:color w:val="243B53"/>
        </w:rPr>
        <w:t>Optionally apply L2 normalization if required by the chosen model.</w:t>
      </w:r>
    </w:p>
    <w:p>
      <w:pPr>
        <w:pStyle w:val="ListNumber"/>
      </w:pPr>
      <w:r>
        <w:rPr>
          <w:rFonts w:ascii="Calibri" w:hAnsi="Calibri"/>
          <w:b/>
          <w:color w:val="102A43"/>
        </w:rPr>
        <w:t xml:space="preserve">Store: </w:t>
      </w:r>
      <w:r>
        <w:rPr>
          <w:rFonts w:ascii="Calibri" w:hAnsi="Calibri"/>
          <w:color w:val="243B53"/>
        </w:rPr>
        <w:t>Persist the vector with chunk identity, configuration, model revision, and metadata.</w:t>
      </w:r>
    </w:p>
    <w:p>
      <w:pPr>
        <w:pStyle w:val="ListNumber"/>
      </w:pPr>
      <w:r>
        <w:rPr>
          <w:rFonts w:ascii="Calibri" w:hAnsi="Calibri"/>
          <w:b/>
          <w:color w:val="102A43"/>
        </w:rPr>
        <w:t xml:space="preserve">Index: </w:t>
      </w:r>
      <w:r>
        <w:rPr>
          <w:rFonts w:ascii="Calibri" w:hAnsi="Calibri"/>
          <w:color w:val="243B53"/>
        </w:rPr>
        <w:t>Build or update a structure that supports fast nearest-neighbour search.</w:t>
      </w:r>
    </w:p>
    <w:p>
      <w:pPr>
        <w:pStyle w:val="Heading2"/>
      </w:pPr>
      <w:r>
        <w:t>Chunking is not a minor detail</w:t>
      </w:r>
    </w:p>
    <w:p>
      <w:r>
        <w:rPr>
          <w:rFonts w:ascii="Calibri" w:hAnsi="Calibri"/>
          <w:i w:val="0"/>
          <w:color w:val="243B53"/>
        </w:rPr>
        <w:t>A whole textbook chapter may be too broad for a single vector. Very small chunks may lose context. Chunk size and overlap influence retrieval precision, storage, model calls, and change propagation.</w:t>
      </w:r>
    </w:p>
    <w:tbl>
      <w:tblPr>
        <w:tblStyle w:val="TableGrid"/>
        <w:tblW w:type="dxa" w:w="9360"/>
        <w:tblLayout w:type="fixed"/>
        <w:tblLook w:firstColumn="1" w:firstRow="1" w:lastColumn="0" w:lastRow="0" w:noHBand="0" w:noVBand="1" w:val="04A0"/>
        <w:jc w:val="left"/>
        <w:tblInd w:w="120" w:type="dxa"/>
      </w:tblPr>
      <w:tblGrid>
        <w:gridCol w:w="1900"/>
        <w:gridCol w:w="3730"/>
        <w:gridCol w:w="3730"/>
      </w:tblGrid>
      <w:tr>
        <w:trPr>
          <w:cantSplit/>
          <w:tblHeader w:val="true"/>
          <w:cantSplit/>
        </w:trPr>
        <w:tc>
          <w:tcPr>
            <w:tcW w:type="dxa" w:w="1900"/>
            <w:tcMar>
              <w:top w:w="100" w:type="dxa"/>
              <w:start w:w="120" w:type="dxa"/>
              <w:bottom w:w="100" w:type="dxa"/>
              <w:end w:w="120" w:type="dxa"/>
            </w:tcMar>
            <w:vAlign w:val="center"/>
            <w:shd w:fill="102A43"/>
          </w:tcPr>
          <w:p>
            <w:pPr>
              <w:spacing w:after="0"/>
            </w:pPr>
            <w:r>
              <w:rPr>
                <w:rFonts w:ascii="Calibri" w:hAnsi="Calibri"/>
                <w:b/>
                <w:color w:val="FFFFFF"/>
                <w:sz w:val="18"/>
              </w:rPr>
              <w:t>Choice</w:t>
            </w:r>
          </w:p>
        </w:tc>
        <w:tc>
          <w:tcPr>
            <w:tcW w:type="dxa" w:w="3730"/>
            <w:tcMar>
              <w:top w:w="100" w:type="dxa"/>
              <w:start w:w="120" w:type="dxa"/>
              <w:bottom w:w="100" w:type="dxa"/>
              <w:end w:w="120" w:type="dxa"/>
            </w:tcMar>
            <w:vAlign w:val="center"/>
            <w:shd w:fill="102A43"/>
          </w:tcPr>
          <w:p>
            <w:pPr>
              <w:spacing w:after="0"/>
            </w:pPr>
            <w:r>
              <w:rPr>
                <w:rFonts w:ascii="Calibri" w:hAnsi="Calibri"/>
                <w:b/>
                <w:color w:val="FFFFFF"/>
                <w:sz w:val="18"/>
              </w:rPr>
              <w:t>Possible benefit</w:t>
            </w:r>
          </w:p>
        </w:tc>
        <w:tc>
          <w:tcPr>
            <w:tcW w:type="dxa" w:w="3730"/>
            <w:tcMar>
              <w:top w:w="100" w:type="dxa"/>
              <w:start w:w="120" w:type="dxa"/>
              <w:bottom w:w="100" w:type="dxa"/>
              <w:end w:w="120" w:type="dxa"/>
            </w:tcMar>
            <w:vAlign w:val="center"/>
            <w:shd w:fill="102A43"/>
          </w:tcPr>
          <w:p>
            <w:pPr>
              <w:spacing w:after="0"/>
            </w:pPr>
            <w:r>
              <w:rPr>
                <w:rFonts w:ascii="Calibri" w:hAnsi="Calibri"/>
                <w:b/>
                <w:color w:val="FFFFFF"/>
                <w:sz w:val="18"/>
              </w:rPr>
              <w:t>Possible cost</w:t>
            </w:r>
          </w:p>
        </w:tc>
      </w:tr>
      <w:tr>
        <w:trPr>
          <w:cantSplit/>
        </w:trPr>
        <w:tc>
          <w:tcPr>
            <w:tcW w:type="dxa" w:w="1900"/>
            <w:tcMar>
              <w:top w:w="100" w:type="dxa"/>
              <w:start w:w="120" w:type="dxa"/>
              <w:bottom w:w="100" w:type="dxa"/>
              <w:end w:w="120" w:type="dxa"/>
            </w:tcMar>
            <w:vAlign w:val="center"/>
          </w:tcPr>
          <w:p>
            <w:pPr>
              <w:spacing w:after="0"/>
            </w:pPr>
            <w:r>
              <w:rPr>
                <w:rFonts w:ascii="Calibri" w:hAnsi="Calibri"/>
                <w:color w:val="243B53"/>
                <w:sz w:val="18"/>
              </w:rPr>
              <w:t>Large chunks</w:t>
            </w:r>
          </w:p>
        </w:tc>
        <w:tc>
          <w:tcPr>
            <w:tcW w:type="dxa" w:w="3730"/>
            <w:tcMar>
              <w:top w:w="100" w:type="dxa"/>
              <w:start w:w="120" w:type="dxa"/>
              <w:bottom w:w="100" w:type="dxa"/>
              <w:end w:w="120" w:type="dxa"/>
            </w:tcMar>
            <w:vAlign w:val="center"/>
          </w:tcPr>
          <w:p>
            <w:pPr>
              <w:spacing w:after="0"/>
            </w:pPr>
            <w:r>
              <w:rPr>
                <w:rFonts w:ascii="Calibri" w:hAnsi="Calibri"/>
                <w:color w:val="243B53"/>
                <w:sz w:val="18"/>
              </w:rPr>
              <w:t>More context per result</w:t>
            </w:r>
          </w:p>
        </w:tc>
        <w:tc>
          <w:tcPr>
            <w:tcW w:type="dxa" w:w="3730"/>
            <w:tcMar>
              <w:top w:w="100" w:type="dxa"/>
              <w:start w:w="120" w:type="dxa"/>
              <w:bottom w:w="100" w:type="dxa"/>
              <w:end w:w="120" w:type="dxa"/>
            </w:tcMar>
            <w:vAlign w:val="center"/>
          </w:tcPr>
          <w:p>
            <w:pPr>
              <w:spacing w:after="0"/>
            </w:pPr>
            <w:r>
              <w:rPr>
                <w:rFonts w:ascii="Calibri" w:hAnsi="Calibri"/>
                <w:color w:val="243B53"/>
                <w:sz w:val="18"/>
              </w:rPr>
              <w:t>Less precise matches; token limits</w:t>
            </w:r>
          </w:p>
        </w:tc>
      </w:tr>
      <w:tr>
        <w:trPr>
          <w:cantSplit/>
        </w:trPr>
        <w:tc>
          <w:tcPr>
            <w:tcW w:type="dxa" w:w="1900"/>
            <w:shd w:fill="F7FAFC"/>
            <w:tcMar>
              <w:top w:w="100" w:type="dxa"/>
              <w:start w:w="120" w:type="dxa"/>
              <w:bottom w:w="100" w:type="dxa"/>
              <w:end w:w="120" w:type="dxa"/>
            </w:tcMar>
            <w:vAlign w:val="center"/>
          </w:tcPr>
          <w:p>
            <w:pPr>
              <w:spacing w:after="0"/>
            </w:pPr>
            <w:r>
              <w:rPr>
                <w:rFonts w:ascii="Calibri" w:hAnsi="Calibri"/>
                <w:color w:val="243B53"/>
                <w:sz w:val="18"/>
              </w:rPr>
              <w:t>Small chunks</w:t>
            </w:r>
          </w:p>
        </w:tc>
        <w:tc>
          <w:tcPr>
            <w:tcW w:type="dxa" w:w="3730"/>
            <w:shd w:fill="F7FAFC"/>
            <w:tcMar>
              <w:top w:w="100" w:type="dxa"/>
              <w:start w:w="120" w:type="dxa"/>
              <w:bottom w:w="100" w:type="dxa"/>
              <w:end w:w="120" w:type="dxa"/>
            </w:tcMar>
            <w:vAlign w:val="center"/>
          </w:tcPr>
          <w:p>
            <w:pPr>
              <w:spacing w:after="0"/>
            </w:pPr>
            <w:r>
              <w:rPr>
                <w:rFonts w:ascii="Calibri" w:hAnsi="Calibri"/>
                <w:color w:val="243B53"/>
                <w:sz w:val="18"/>
              </w:rPr>
              <w:t>Fine-grained retrieval and reuse</w:t>
            </w:r>
          </w:p>
        </w:tc>
        <w:tc>
          <w:tcPr>
            <w:tcW w:type="dxa" w:w="3730"/>
            <w:shd w:fill="F7FAFC"/>
            <w:tcMar>
              <w:top w:w="100" w:type="dxa"/>
              <w:start w:w="120" w:type="dxa"/>
              <w:bottom w:w="100" w:type="dxa"/>
              <w:end w:w="120" w:type="dxa"/>
            </w:tcMar>
            <w:vAlign w:val="center"/>
          </w:tcPr>
          <w:p>
            <w:pPr>
              <w:spacing w:after="0"/>
            </w:pPr>
            <w:r>
              <w:rPr>
                <w:rFonts w:ascii="Calibri" w:hAnsi="Calibri"/>
                <w:color w:val="243B53"/>
                <w:sz w:val="18"/>
              </w:rPr>
              <w:t>Context loss; more vectors</w:t>
            </w:r>
          </w:p>
        </w:tc>
      </w:tr>
      <w:tr>
        <w:trPr>
          <w:cantSplit/>
        </w:trPr>
        <w:tc>
          <w:tcPr>
            <w:tcW w:type="dxa" w:w="1900"/>
            <w:tcMar>
              <w:top w:w="100" w:type="dxa"/>
              <w:start w:w="120" w:type="dxa"/>
              <w:bottom w:w="100" w:type="dxa"/>
              <w:end w:w="120" w:type="dxa"/>
            </w:tcMar>
            <w:vAlign w:val="center"/>
          </w:tcPr>
          <w:p>
            <w:pPr>
              <w:spacing w:after="0"/>
            </w:pPr>
            <w:r>
              <w:rPr>
                <w:rFonts w:ascii="Calibri" w:hAnsi="Calibri"/>
                <w:color w:val="243B53"/>
                <w:sz w:val="18"/>
              </w:rPr>
              <w:t>Overlap</w:t>
            </w:r>
          </w:p>
        </w:tc>
        <w:tc>
          <w:tcPr>
            <w:tcW w:type="dxa" w:w="3730"/>
            <w:tcMar>
              <w:top w:w="100" w:type="dxa"/>
              <w:start w:w="120" w:type="dxa"/>
              <w:bottom w:w="100" w:type="dxa"/>
              <w:end w:w="120" w:type="dxa"/>
            </w:tcMar>
            <w:vAlign w:val="center"/>
          </w:tcPr>
          <w:p>
            <w:pPr>
              <w:spacing w:after="0"/>
            </w:pPr>
            <w:r>
              <w:rPr>
                <w:rFonts w:ascii="Calibri" w:hAnsi="Calibri"/>
                <w:color w:val="243B53"/>
                <w:sz w:val="18"/>
              </w:rPr>
              <w:t>Keeps ideas crossing boundaries</w:t>
            </w:r>
          </w:p>
        </w:tc>
        <w:tc>
          <w:tcPr>
            <w:tcW w:type="dxa" w:w="3730"/>
            <w:tcMar>
              <w:top w:w="100" w:type="dxa"/>
              <w:start w:w="120" w:type="dxa"/>
              <w:bottom w:w="100" w:type="dxa"/>
              <w:end w:w="120" w:type="dxa"/>
            </w:tcMar>
            <w:vAlign w:val="center"/>
          </w:tcPr>
          <w:p>
            <w:pPr>
              <w:spacing w:after="0"/>
            </w:pPr>
            <w:r>
              <w:rPr>
                <w:rFonts w:ascii="Calibri" w:hAnsi="Calibri"/>
                <w:color w:val="243B53"/>
                <w:sz w:val="18"/>
              </w:rPr>
              <w:t>Duplicates text and storage</w:t>
            </w:r>
          </w:p>
        </w:tc>
      </w:tr>
      <w:tr>
        <w:trPr>
          <w:cantSplit/>
        </w:trPr>
        <w:tc>
          <w:tcPr>
            <w:tcW w:type="dxa" w:w="1900"/>
            <w:shd w:fill="F7FAFC"/>
            <w:tcMar>
              <w:top w:w="100" w:type="dxa"/>
              <w:start w:w="120" w:type="dxa"/>
              <w:bottom w:w="100" w:type="dxa"/>
              <w:end w:w="120" w:type="dxa"/>
            </w:tcMar>
            <w:vAlign w:val="center"/>
          </w:tcPr>
          <w:p>
            <w:pPr>
              <w:spacing w:after="0"/>
            </w:pPr>
            <w:r>
              <w:rPr>
                <w:rFonts w:ascii="Calibri" w:hAnsi="Calibri"/>
                <w:color w:val="243B53"/>
                <w:sz w:val="18"/>
              </w:rPr>
              <w:t>Deterministic IDs</w:t>
            </w:r>
          </w:p>
        </w:tc>
        <w:tc>
          <w:tcPr>
            <w:tcW w:type="dxa" w:w="3730"/>
            <w:shd w:fill="F7FAFC"/>
            <w:tcMar>
              <w:top w:w="100" w:type="dxa"/>
              <w:start w:w="120" w:type="dxa"/>
              <w:bottom w:w="100" w:type="dxa"/>
              <w:end w:w="120" w:type="dxa"/>
            </w:tcMar>
            <w:vAlign w:val="center"/>
          </w:tcPr>
          <w:p>
            <w:pPr>
              <w:spacing w:after="0"/>
            </w:pPr>
            <w:r>
              <w:rPr>
                <w:rFonts w:ascii="Calibri" w:hAnsi="Calibri"/>
                <w:color w:val="243B53"/>
                <w:sz w:val="18"/>
              </w:rPr>
              <w:t>Stable comparisons across runs</w:t>
            </w:r>
          </w:p>
        </w:tc>
        <w:tc>
          <w:tcPr>
            <w:tcW w:type="dxa" w:w="3730"/>
            <w:shd w:fill="F7FAFC"/>
            <w:tcMar>
              <w:top w:w="100" w:type="dxa"/>
              <w:start w:w="120" w:type="dxa"/>
              <w:bottom w:w="100" w:type="dxa"/>
              <w:end w:w="120" w:type="dxa"/>
            </w:tcMar>
            <w:vAlign w:val="center"/>
          </w:tcPr>
          <w:p>
            <w:pPr>
              <w:spacing w:after="0"/>
            </w:pPr>
            <w:r>
              <w:rPr>
                <w:rFonts w:ascii="Calibri" w:hAnsi="Calibri"/>
                <w:color w:val="243B53"/>
                <w:sz w:val="18"/>
              </w:rPr>
              <w:t>Requires careful extraction and normalization</w:t>
            </w:r>
          </w:p>
        </w:tc>
      </w:tr>
    </w:tbl>
    <w:p>
      <w:pPr>
        <w:spacing w:after="20"/>
      </w:pPr>
    </w:p>
    <w:p>
      <w:pPr>
        <w:pStyle w:val="Heading2"/>
      </w:pPr>
      <w:r>
        <w:t>Configuration defines meaning</w:t>
      </w:r>
    </w:p>
    <w:p>
      <w:r>
        <w:rPr>
          <w:rFonts w:ascii="Calibri" w:hAnsi="Calibri"/>
          <w:i w:val="0"/>
          <w:color w:val="243B53"/>
        </w:rPr>
        <w:t>The model name alone is insufficient. A reproducible configuration should include model revision, tokenizer/library versions, vector dimension, pooling, vector normalization, preprocessing, chunking strategy, chunk size, and overlap.</w:t>
      </w:r>
    </w:p>
    <w:p>
      <w:pPr>
        <w:keepLines/>
        <w:spacing w:before="100" w:after="180"/>
        <w:ind w:left="202" w:right="115"/>
        <w:shd w:fill="FFF4E5"/>
        <w:pBdr>
          <w:left w:val="single" w:sz="20" w:space="8" w:color="D97706"/>
        </w:pBdr>
      </w:pPr>
      <w:r>
        <w:rPr>
          <w:rFonts w:ascii="Calibri" w:hAnsi="Calibri"/>
          <w:b/>
          <w:color w:val="D97706"/>
          <w:sz w:val="20"/>
        </w:rPr>
        <w:t xml:space="preserve">Project consequence  </w:t>
      </w:r>
      <w:r>
        <w:rPr>
          <w:rFonts w:ascii="Calibri" w:hAnsi="Calibri"/>
          <w:color w:val="243B53"/>
          <w:sz w:val="20"/>
        </w:rPr>
        <w:t>Changing preprocessing or chunking can change chunk hashes. Changing the embedding configuration makes old vectors stale even when the visible text is unchanged.</w:t>
      </w:r>
    </w:p>
    <w:p>
      <w:r>
        <w:br w:type="page"/>
      </w:r>
    </w:p>
    <w:p>
      <w:pPr>
        <w:pStyle w:val="Heading1"/>
      </w:pPr>
      <w:r>
        <w:t>5. Vector databases and search</w:t>
      </w:r>
    </w:p>
    <w:p>
      <w:r>
        <w:rPr>
          <w:rFonts w:ascii="Calibri" w:hAnsi="Calibri"/>
          <w:i w:val="0"/>
          <w:color w:val="243B53"/>
        </w:rPr>
        <w:t>A vector database stores vectors and associated metadata, builds an index, accepts a query vector, and returns nearby items. ChromaDB is the MVP backend for EmbedGit.</w:t>
      </w:r>
    </w:p>
    <w:p>
      <w:pPr>
        <w:pStyle w:val="Heading2"/>
      </w:pPr>
      <w:r>
        <w:t>What a stored record usually contains</w:t>
      </w:r>
    </w:p>
    <w:p>
      <w:pPr>
        <w:pStyle w:val="CodeBlock"/>
      </w:pPr>
      <w:r>
        <w:t>{</w:t>
        <w:br/>
        <w:t xml:space="preserve">  "id": "chunk-001",</w:t>
        <w:br/>
        <w:t xml:space="preserve">  "vector": [0.12, -0.43, 0.87, ...],</w:t>
        <w:br/>
        <w:t xml:space="preserve">  "text": "A process scheduler selects ...",</w:t>
        <w:br/>
        <w:t xml:space="preserve">  "metadata": {"source": "os/chapter1.pdf", "page": 12},</w:t>
        <w:br/>
        <w:t xml:space="preserve">  "embedding_config_hash": "config123"</w:t>
        <w:br/>
        <w:t>}</w:t>
      </w:r>
    </w:p>
    <w:p>
      <w:pPr>
        <w:pStyle w:val="Heading2"/>
      </w:pPr>
      <w:r>
        <w:t>What happens during semantic search</w:t>
      </w:r>
    </w:p>
    <w:p>
      <w:pPr>
        <w:pStyle w:val="ListNumber"/>
      </w:pPr>
      <w:r>
        <w:rPr>
          <w:rFonts w:ascii="Calibri" w:hAnsi="Calibri"/>
          <w:color w:val="243B53"/>
        </w:rPr>
        <w:t>Embed the user's query with the same compatible model and normalization.</w:t>
      </w:r>
    </w:p>
    <w:p>
      <w:pPr>
        <w:pStyle w:val="ListNumber"/>
      </w:pPr>
      <w:r>
        <w:rPr>
          <w:rFonts w:ascii="Calibri" w:hAnsi="Calibri"/>
          <w:color w:val="243B53"/>
        </w:rPr>
        <w:t>Optionally apply metadata filters such as course, source, date, or permissions.</w:t>
      </w:r>
    </w:p>
    <w:p>
      <w:pPr>
        <w:pStyle w:val="ListNumber"/>
      </w:pPr>
      <w:r>
        <w:rPr>
          <w:rFonts w:ascii="Calibri" w:hAnsi="Calibri"/>
          <w:color w:val="243B53"/>
        </w:rPr>
        <w:t>Search the index for approximate or exact nearest neighbours.</w:t>
      </w:r>
    </w:p>
    <w:p>
      <w:pPr>
        <w:pStyle w:val="ListNumber"/>
      </w:pPr>
      <w:r>
        <w:rPr>
          <w:rFonts w:ascii="Calibri" w:hAnsi="Calibri"/>
          <w:color w:val="243B53"/>
        </w:rPr>
        <w:t>Return top-k records with scores and provenance.</w:t>
      </w:r>
    </w:p>
    <w:p>
      <w:pPr>
        <w:pStyle w:val="ListNumber"/>
      </w:pPr>
      <w:r>
        <w:rPr>
          <w:rFonts w:ascii="Calibri" w:hAnsi="Calibri"/>
          <w:color w:val="243B53"/>
        </w:rPr>
        <w:t>Optionally rerank or validate results before using them downstream.</w:t>
      </w:r>
    </w:p>
    <w:p>
      <w:pPr>
        <w:keepLines/>
        <w:spacing w:before="100" w:after="180"/>
        <w:ind w:left="202" w:right="115"/>
        <w:shd w:fill="E7F8F7"/>
        <w:pBdr>
          <w:left w:val="single" w:sz="20" w:space="8" w:color="0EA5A8"/>
        </w:pBdr>
      </w:pPr>
      <w:r>
        <w:rPr>
          <w:rFonts w:ascii="Calibri" w:hAnsi="Calibri"/>
          <w:b/>
          <w:color w:val="0EA5A8"/>
          <w:sz w:val="20"/>
        </w:rPr>
        <w:t xml:space="preserve">Canonical history vs. materialized state  </w:t>
      </w:r>
      <w:r>
        <w:rPr>
          <w:rFonts w:ascii="Calibri" w:hAnsi="Calibri"/>
          <w:color w:val="243B53"/>
          <w:sz w:val="20"/>
        </w:rPr>
        <w:t>For EmbedGit, commit manifests and immutable objects are the version history. ChromaDB is a materialized searchable state that can be synchronized from a selected commit.</w:t>
      </w:r>
    </w:p>
    <w:p>
      <w:pPr>
        <w:pStyle w:val="Heading2"/>
      </w:pPr>
      <w:r>
        <w:t>Vector index vs. vector database</w:t>
      </w:r>
    </w:p>
    <w:tbl>
      <w:tblPr>
        <w:tblStyle w:val="TableGrid"/>
        <w:tblW w:type="dxa" w:w="9360"/>
        <w:tblLayout w:type="fixed"/>
        <w:tblLook w:firstColumn="1" w:firstRow="1" w:lastColumn="0" w:lastRow="0" w:noHBand="0" w:noVBand="1" w:val="04A0"/>
        <w:jc w:val="left"/>
        <w:tblInd w:w="120" w:type="dxa"/>
      </w:tblPr>
      <w:tblGrid>
        <w:gridCol w:w="2000"/>
        <w:gridCol w:w="4700"/>
        <w:gridCol w:w="2660"/>
      </w:tblGrid>
      <w:tr>
        <w:trPr>
          <w:cantSplit/>
          <w:tblHeader w:val="true"/>
          <w:cantSplit/>
        </w:trPr>
        <w:tc>
          <w:tcPr>
            <w:tcW w:type="dxa" w:w="2000"/>
            <w:tcMar>
              <w:top w:w="100" w:type="dxa"/>
              <w:start w:w="120" w:type="dxa"/>
              <w:bottom w:w="100" w:type="dxa"/>
              <w:end w:w="120" w:type="dxa"/>
            </w:tcMar>
            <w:vAlign w:val="center"/>
            <w:shd w:fill="102A43"/>
          </w:tcPr>
          <w:p>
            <w:pPr>
              <w:spacing w:after="0"/>
            </w:pPr>
            <w:r>
              <w:rPr>
                <w:rFonts w:ascii="Calibri" w:hAnsi="Calibri"/>
                <w:b/>
                <w:color w:val="FFFFFF"/>
                <w:sz w:val="18"/>
              </w:rPr>
              <w:t>Concept</w:t>
            </w:r>
          </w:p>
        </w:tc>
        <w:tc>
          <w:tcPr>
            <w:tcW w:type="dxa" w:w="4700"/>
            <w:tcMar>
              <w:top w:w="100" w:type="dxa"/>
              <w:start w:w="120" w:type="dxa"/>
              <w:bottom w:w="100" w:type="dxa"/>
              <w:end w:w="120" w:type="dxa"/>
            </w:tcMar>
            <w:vAlign w:val="center"/>
            <w:shd w:fill="102A43"/>
          </w:tcPr>
          <w:p>
            <w:pPr>
              <w:spacing w:after="0"/>
            </w:pPr>
            <w:r>
              <w:rPr>
                <w:rFonts w:ascii="Calibri" w:hAnsi="Calibri"/>
                <w:b/>
                <w:color w:val="FFFFFF"/>
                <w:sz w:val="18"/>
              </w:rPr>
              <w:t>Main job</w:t>
            </w:r>
          </w:p>
        </w:tc>
        <w:tc>
          <w:tcPr>
            <w:tcW w:type="dxa" w:w="2660"/>
            <w:tcMar>
              <w:top w:w="100" w:type="dxa"/>
              <w:start w:w="120" w:type="dxa"/>
              <w:bottom w:w="100" w:type="dxa"/>
              <w:end w:w="120" w:type="dxa"/>
            </w:tcMar>
            <w:vAlign w:val="center"/>
            <w:shd w:fill="102A43"/>
          </w:tcPr>
          <w:p>
            <w:pPr>
              <w:spacing w:after="0"/>
            </w:pPr>
            <w:r>
              <w:rPr>
                <w:rFonts w:ascii="Calibri" w:hAnsi="Calibri"/>
                <w:b/>
                <w:color w:val="FFFFFF"/>
                <w:sz w:val="18"/>
              </w:rPr>
              <w:t>Examples</w:t>
            </w:r>
          </w:p>
        </w:tc>
      </w:tr>
      <w:tr>
        <w:trPr>
          <w:cantSplit/>
        </w:trPr>
        <w:tc>
          <w:tcPr>
            <w:tcW w:type="dxa" w:w="2000"/>
            <w:tcMar>
              <w:top w:w="100" w:type="dxa"/>
              <w:start w:w="120" w:type="dxa"/>
              <w:bottom w:w="100" w:type="dxa"/>
              <w:end w:w="120" w:type="dxa"/>
            </w:tcMar>
            <w:vAlign w:val="center"/>
          </w:tcPr>
          <w:p>
            <w:pPr>
              <w:spacing w:after="0"/>
            </w:pPr>
            <w:r>
              <w:rPr>
                <w:rFonts w:ascii="Calibri" w:hAnsi="Calibri"/>
                <w:color w:val="243B53"/>
                <w:sz w:val="18"/>
              </w:rPr>
              <w:t>Vector index</w:t>
            </w:r>
          </w:p>
        </w:tc>
        <w:tc>
          <w:tcPr>
            <w:tcW w:type="dxa" w:w="4700"/>
            <w:tcMar>
              <w:top w:w="100" w:type="dxa"/>
              <w:start w:w="120" w:type="dxa"/>
              <w:bottom w:w="100" w:type="dxa"/>
              <w:end w:w="120" w:type="dxa"/>
            </w:tcMar>
            <w:vAlign w:val="center"/>
          </w:tcPr>
          <w:p>
            <w:pPr>
              <w:spacing w:after="0"/>
            </w:pPr>
            <w:r>
              <w:rPr>
                <w:rFonts w:ascii="Calibri" w:hAnsi="Calibri"/>
                <w:color w:val="243B53"/>
                <w:sz w:val="18"/>
              </w:rPr>
              <w:t>Efficient nearest-neighbour lookup over vectors</w:t>
            </w:r>
          </w:p>
        </w:tc>
        <w:tc>
          <w:tcPr>
            <w:tcW w:type="dxa" w:w="2660"/>
            <w:tcMar>
              <w:top w:w="100" w:type="dxa"/>
              <w:start w:w="120" w:type="dxa"/>
              <w:bottom w:w="100" w:type="dxa"/>
              <w:end w:w="120" w:type="dxa"/>
            </w:tcMar>
            <w:vAlign w:val="center"/>
          </w:tcPr>
          <w:p>
            <w:pPr>
              <w:spacing w:after="0"/>
            </w:pPr>
            <w:r>
              <w:rPr>
                <w:rFonts w:ascii="Calibri" w:hAnsi="Calibri"/>
                <w:color w:val="243B53"/>
                <w:sz w:val="18"/>
              </w:rPr>
              <w:t>HNSW, IVF, flat index</w:t>
            </w:r>
          </w:p>
        </w:tc>
      </w:tr>
      <w:tr>
        <w:trPr>
          <w:cantSplit/>
        </w:trPr>
        <w:tc>
          <w:tcPr>
            <w:tcW w:type="dxa" w:w="2000"/>
            <w:shd w:fill="F7FAFC"/>
            <w:tcMar>
              <w:top w:w="100" w:type="dxa"/>
              <w:start w:w="120" w:type="dxa"/>
              <w:bottom w:w="100" w:type="dxa"/>
              <w:end w:w="120" w:type="dxa"/>
            </w:tcMar>
            <w:vAlign w:val="center"/>
          </w:tcPr>
          <w:p>
            <w:pPr>
              <w:spacing w:after="0"/>
            </w:pPr>
            <w:r>
              <w:rPr>
                <w:rFonts w:ascii="Calibri" w:hAnsi="Calibri"/>
                <w:color w:val="243B53"/>
                <w:sz w:val="18"/>
              </w:rPr>
              <w:t>Vector database</w:t>
            </w:r>
          </w:p>
        </w:tc>
        <w:tc>
          <w:tcPr>
            <w:tcW w:type="dxa" w:w="4700"/>
            <w:shd w:fill="F7FAFC"/>
            <w:tcMar>
              <w:top w:w="100" w:type="dxa"/>
              <w:start w:w="120" w:type="dxa"/>
              <w:bottom w:w="100" w:type="dxa"/>
              <w:end w:w="120" w:type="dxa"/>
            </w:tcMar>
            <w:vAlign w:val="center"/>
          </w:tcPr>
          <w:p>
            <w:pPr>
              <w:spacing w:after="0"/>
            </w:pPr>
            <w:r>
              <w:rPr>
                <w:rFonts w:ascii="Calibri" w:hAnsi="Calibri"/>
                <w:color w:val="243B53"/>
                <w:sz w:val="18"/>
              </w:rPr>
              <w:t>Storage, metadata, filtering, persistence, APIs, and indexes</w:t>
            </w:r>
          </w:p>
        </w:tc>
        <w:tc>
          <w:tcPr>
            <w:tcW w:type="dxa" w:w="2660"/>
            <w:shd w:fill="F7FAFC"/>
            <w:tcMar>
              <w:top w:w="100" w:type="dxa"/>
              <w:start w:w="120" w:type="dxa"/>
              <w:bottom w:w="100" w:type="dxa"/>
              <w:end w:w="120" w:type="dxa"/>
            </w:tcMar>
            <w:vAlign w:val="center"/>
          </w:tcPr>
          <w:p>
            <w:pPr>
              <w:spacing w:after="0"/>
            </w:pPr>
            <w:r>
              <w:rPr>
                <w:rFonts w:ascii="Calibri" w:hAnsi="Calibri"/>
                <w:color w:val="243B53"/>
                <w:sz w:val="18"/>
              </w:rPr>
              <w:t>ChromaDB, Qdrant, Milvus, Pinecone, Weaviate</w:t>
            </w:r>
          </w:p>
        </w:tc>
      </w:tr>
    </w:tbl>
    <w:p>
      <w:pPr>
        <w:spacing w:after="20"/>
      </w:pPr>
    </w:p>
    <w:p>
      <w:r>
        <w:br w:type="page"/>
      </w:r>
    </w:p>
    <w:p>
      <w:pPr>
        <w:pStyle w:val="Heading1"/>
      </w:pPr>
      <w:r>
        <w:t>6. Where embeddings are used</w:t>
      </w:r>
    </w:p>
    <w:tbl>
      <w:tblPr>
        <w:tblStyle w:val="TableGrid"/>
        <w:tblW w:type="dxa" w:w="9360"/>
        <w:tblLayout w:type="fixed"/>
        <w:tblLook w:firstColumn="1" w:firstRow="1" w:lastColumn="0" w:lastRow="0" w:noHBand="0" w:noVBand="1" w:val="04A0"/>
        <w:jc w:val="left"/>
        <w:tblInd w:w="120" w:type="dxa"/>
      </w:tblPr>
      <w:tblGrid>
        <w:gridCol w:w="1900"/>
        <w:gridCol w:w="4180"/>
        <w:gridCol w:w="3280"/>
      </w:tblGrid>
      <w:tr>
        <w:trPr>
          <w:cantSplit/>
          <w:tblHeader w:val="true"/>
          <w:cantSplit/>
        </w:trPr>
        <w:tc>
          <w:tcPr>
            <w:tcW w:type="dxa" w:w="1900"/>
            <w:tcMar>
              <w:top w:w="100" w:type="dxa"/>
              <w:start w:w="120" w:type="dxa"/>
              <w:bottom w:w="100" w:type="dxa"/>
              <w:end w:w="120" w:type="dxa"/>
            </w:tcMar>
            <w:vAlign w:val="center"/>
            <w:shd w:fill="102A43"/>
          </w:tcPr>
          <w:p>
            <w:pPr>
              <w:spacing w:after="0"/>
            </w:pPr>
            <w:r>
              <w:rPr>
                <w:rFonts w:ascii="Calibri" w:hAnsi="Calibri"/>
                <w:b/>
                <w:color w:val="FFFFFF"/>
                <w:sz w:val="18"/>
              </w:rPr>
              <w:t>Application</w:t>
            </w:r>
          </w:p>
        </w:tc>
        <w:tc>
          <w:tcPr>
            <w:tcW w:type="dxa" w:w="4180"/>
            <w:tcMar>
              <w:top w:w="100" w:type="dxa"/>
              <w:start w:w="120" w:type="dxa"/>
              <w:bottom w:w="100" w:type="dxa"/>
              <w:end w:w="120" w:type="dxa"/>
            </w:tcMar>
            <w:vAlign w:val="center"/>
            <w:shd w:fill="102A43"/>
          </w:tcPr>
          <w:p>
            <w:pPr>
              <w:spacing w:after="0"/>
            </w:pPr>
            <w:r>
              <w:rPr>
                <w:rFonts w:ascii="Calibri" w:hAnsi="Calibri"/>
                <w:b/>
                <w:color w:val="FFFFFF"/>
                <w:sz w:val="18"/>
              </w:rPr>
              <w:t>How embeddings help</w:t>
            </w:r>
          </w:p>
        </w:tc>
        <w:tc>
          <w:tcPr>
            <w:tcW w:type="dxa" w:w="3280"/>
            <w:tcMar>
              <w:top w:w="100" w:type="dxa"/>
              <w:start w:w="120" w:type="dxa"/>
              <w:bottom w:w="100" w:type="dxa"/>
              <w:end w:w="120" w:type="dxa"/>
            </w:tcMar>
            <w:vAlign w:val="center"/>
            <w:shd w:fill="102A43"/>
          </w:tcPr>
          <w:p>
            <w:pPr>
              <w:spacing w:after="0"/>
            </w:pPr>
            <w:r>
              <w:rPr>
                <w:rFonts w:ascii="Calibri" w:hAnsi="Calibri"/>
                <w:b/>
                <w:color w:val="FFFFFF"/>
                <w:sz w:val="18"/>
              </w:rPr>
              <w:t>Example</w:t>
            </w:r>
          </w:p>
        </w:tc>
      </w:tr>
      <w:tr>
        <w:trPr>
          <w:cantSplit/>
        </w:trPr>
        <w:tc>
          <w:tcPr>
            <w:tcW w:type="dxa" w:w="1900"/>
            <w:tcMar>
              <w:top w:w="100" w:type="dxa"/>
              <w:start w:w="120" w:type="dxa"/>
              <w:bottom w:w="100" w:type="dxa"/>
              <w:end w:w="120" w:type="dxa"/>
            </w:tcMar>
            <w:vAlign w:val="center"/>
          </w:tcPr>
          <w:p>
            <w:pPr>
              <w:spacing w:after="0"/>
            </w:pPr>
            <w:r>
              <w:rPr>
                <w:rFonts w:ascii="Calibri" w:hAnsi="Calibri"/>
                <w:color w:val="243B53"/>
                <w:sz w:val="18"/>
              </w:rPr>
              <w:t>Semantic search</w:t>
            </w:r>
          </w:p>
        </w:tc>
        <w:tc>
          <w:tcPr>
            <w:tcW w:type="dxa" w:w="4180"/>
            <w:tcMar>
              <w:top w:w="100" w:type="dxa"/>
              <w:start w:w="120" w:type="dxa"/>
              <w:bottom w:w="100" w:type="dxa"/>
              <w:end w:w="120" w:type="dxa"/>
            </w:tcMar>
            <w:vAlign w:val="center"/>
          </w:tcPr>
          <w:p>
            <w:pPr>
              <w:spacing w:after="0"/>
            </w:pPr>
            <w:r>
              <w:rPr>
                <w:rFonts w:ascii="Calibri" w:hAnsi="Calibri"/>
                <w:color w:val="243B53"/>
                <w:sz w:val="18"/>
              </w:rPr>
              <w:t>Retrieve conceptually related content despite different wording.</w:t>
            </w:r>
          </w:p>
        </w:tc>
        <w:tc>
          <w:tcPr>
            <w:tcW w:type="dxa" w:w="3280"/>
            <w:tcMar>
              <w:top w:w="100" w:type="dxa"/>
              <w:start w:w="120" w:type="dxa"/>
              <w:bottom w:w="100" w:type="dxa"/>
              <w:end w:w="120" w:type="dxa"/>
            </w:tcMar>
            <w:vAlign w:val="center"/>
          </w:tcPr>
          <w:p>
            <w:pPr>
              <w:spacing w:after="0"/>
            </w:pPr>
            <w:r>
              <w:rPr>
                <w:rFonts w:ascii="Calibri" w:hAnsi="Calibri"/>
                <w:color w:val="243B53"/>
                <w:sz w:val="18"/>
              </w:rPr>
              <w:t>'deadlock prevention' finds notes about avoiding circular wait.</w:t>
            </w:r>
          </w:p>
        </w:tc>
      </w:tr>
      <w:tr>
        <w:trPr>
          <w:cantSplit/>
        </w:trPr>
        <w:tc>
          <w:tcPr>
            <w:tcW w:type="dxa" w:w="1900"/>
            <w:shd w:fill="F7FAFC"/>
            <w:tcMar>
              <w:top w:w="100" w:type="dxa"/>
              <w:start w:w="120" w:type="dxa"/>
              <w:bottom w:w="100" w:type="dxa"/>
              <w:end w:w="120" w:type="dxa"/>
            </w:tcMar>
            <w:vAlign w:val="center"/>
          </w:tcPr>
          <w:p>
            <w:pPr>
              <w:spacing w:after="0"/>
            </w:pPr>
            <w:r>
              <w:rPr>
                <w:rFonts w:ascii="Calibri" w:hAnsi="Calibri"/>
                <w:color w:val="243B53"/>
                <w:sz w:val="18"/>
              </w:rPr>
              <w:t>RAG</w:t>
            </w:r>
          </w:p>
        </w:tc>
        <w:tc>
          <w:tcPr>
            <w:tcW w:type="dxa" w:w="4180"/>
            <w:shd w:fill="F7FAFC"/>
            <w:tcMar>
              <w:top w:w="100" w:type="dxa"/>
              <w:start w:w="120" w:type="dxa"/>
              <w:bottom w:w="100" w:type="dxa"/>
              <w:end w:w="120" w:type="dxa"/>
            </w:tcMar>
            <w:vAlign w:val="center"/>
          </w:tcPr>
          <w:p>
            <w:pPr>
              <w:spacing w:after="0"/>
            </w:pPr>
            <w:r>
              <w:rPr>
                <w:rFonts w:ascii="Calibri" w:hAnsi="Calibri"/>
                <w:color w:val="243B53"/>
                <w:sz w:val="18"/>
              </w:rPr>
              <w:t>Retrieve context for an LLM before answer generation.</w:t>
            </w:r>
          </w:p>
        </w:tc>
        <w:tc>
          <w:tcPr>
            <w:tcW w:type="dxa" w:w="3280"/>
            <w:shd w:fill="F7FAFC"/>
            <w:tcMar>
              <w:top w:w="100" w:type="dxa"/>
              <w:start w:w="120" w:type="dxa"/>
              <w:bottom w:w="100" w:type="dxa"/>
              <w:end w:w="120" w:type="dxa"/>
            </w:tcMar>
            <w:vAlign w:val="center"/>
          </w:tcPr>
          <w:p>
            <w:pPr>
              <w:spacing w:after="0"/>
            </w:pPr>
            <w:r>
              <w:rPr>
                <w:rFonts w:ascii="Calibri" w:hAnsi="Calibri"/>
                <w:color w:val="243B53"/>
                <w:sz w:val="18"/>
              </w:rPr>
              <w:t>Answer a course question using trusted notes.</w:t>
            </w:r>
          </w:p>
        </w:tc>
      </w:tr>
      <w:tr>
        <w:trPr>
          <w:cantSplit/>
        </w:trPr>
        <w:tc>
          <w:tcPr>
            <w:tcW w:type="dxa" w:w="1900"/>
            <w:tcMar>
              <w:top w:w="100" w:type="dxa"/>
              <w:start w:w="120" w:type="dxa"/>
              <w:bottom w:w="100" w:type="dxa"/>
              <w:end w:w="120" w:type="dxa"/>
            </w:tcMar>
            <w:vAlign w:val="center"/>
          </w:tcPr>
          <w:p>
            <w:pPr>
              <w:spacing w:after="0"/>
            </w:pPr>
            <w:r>
              <w:rPr>
                <w:rFonts w:ascii="Calibri" w:hAnsi="Calibri"/>
                <w:color w:val="243B53"/>
                <w:sz w:val="18"/>
              </w:rPr>
              <w:t>Recommendations</w:t>
            </w:r>
          </w:p>
        </w:tc>
        <w:tc>
          <w:tcPr>
            <w:tcW w:type="dxa" w:w="4180"/>
            <w:tcMar>
              <w:top w:w="100" w:type="dxa"/>
              <w:start w:w="120" w:type="dxa"/>
              <w:bottom w:w="100" w:type="dxa"/>
              <w:end w:w="120" w:type="dxa"/>
            </w:tcMar>
            <w:vAlign w:val="center"/>
          </w:tcPr>
          <w:p>
            <w:pPr>
              <w:spacing w:after="0"/>
            </w:pPr>
            <w:r>
              <w:rPr>
                <w:rFonts w:ascii="Calibri" w:hAnsi="Calibri"/>
                <w:color w:val="243B53"/>
                <w:sz w:val="18"/>
              </w:rPr>
              <w:t>Match users, products, articles, songs, or courses by learned similarity.</w:t>
            </w:r>
          </w:p>
        </w:tc>
        <w:tc>
          <w:tcPr>
            <w:tcW w:type="dxa" w:w="3280"/>
            <w:tcMar>
              <w:top w:w="100" w:type="dxa"/>
              <w:start w:w="120" w:type="dxa"/>
              <w:bottom w:w="100" w:type="dxa"/>
              <w:end w:w="120" w:type="dxa"/>
            </w:tcMar>
            <w:vAlign w:val="center"/>
          </w:tcPr>
          <w:p>
            <w:pPr>
              <w:spacing w:after="0"/>
            </w:pPr>
            <w:r>
              <w:rPr>
                <w:rFonts w:ascii="Calibri" w:hAnsi="Calibri"/>
                <w:color w:val="243B53"/>
                <w:sz w:val="18"/>
              </w:rPr>
              <w:t>Recommend related learning material.</w:t>
            </w:r>
          </w:p>
        </w:tc>
      </w:tr>
      <w:tr>
        <w:trPr>
          <w:cantSplit/>
        </w:trPr>
        <w:tc>
          <w:tcPr>
            <w:tcW w:type="dxa" w:w="1900"/>
            <w:shd w:fill="F7FAFC"/>
            <w:tcMar>
              <w:top w:w="100" w:type="dxa"/>
              <w:start w:w="120" w:type="dxa"/>
              <w:bottom w:w="100" w:type="dxa"/>
              <w:end w:w="120" w:type="dxa"/>
            </w:tcMar>
            <w:vAlign w:val="center"/>
          </w:tcPr>
          <w:p>
            <w:pPr>
              <w:spacing w:after="0"/>
            </w:pPr>
            <w:r>
              <w:rPr>
                <w:rFonts w:ascii="Calibri" w:hAnsi="Calibri"/>
                <w:color w:val="243B53"/>
                <w:sz w:val="18"/>
              </w:rPr>
              <w:t>Clustering</w:t>
            </w:r>
          </w:p>
        </w:tc>
        <w:tc>
          <w:tcPr>
            <w:tcW w:type="dxa" w:w="4180"/>
            <w:shd w:fill="F7FAFC"/>
            <w:tcMar>
              <w:top w:w="100" w:type="dxa"/>
              <w:start w:w="120" w:type="dxa"/>
              <w:bottom w:w="100" w:type="dxa"/>
              <w:end w:w="120" w:type="dxa"/>
            </w:tcMar>
            <w:vAlign w:val="center"/>
          </w:tcPr>
          <w:p>
            <w:pPr>
              <w:spacing w:after="0"/>
            </w:pPr>
            <w:r>
              <w:rPr>
                <w:rFonts w:ascii="Calibri" w:hAnsi="Calibri"/>
                <w:color w:val="243B53"/>
                <w:sz w:val="18"/>
              </w:rPr>
              <w:t>Group nearby vectors without predefined labels.</w:t>
            </w:r>
          </w:p>
        </w:tc>
        <w:tc>
          <w:tcPr>
            <w:tcW w:type="dxa" w:w="3280"/>
            <w:shd w:fill="F7FAFC"/>
            <w:tcMar>
              <w:top w:w="100" w:type="dxa"/>
              <w:start w:w="120" w:type="dxa"/>
              <w:bottom w:w="100" w:type="dxa"/>
              <w:end w:w="120" w:type="dxa"/>
            </w:tcMar>
            <w:vAlign w:val="center"/>
          </w:tcPr>
          <w:p>
            <w:pPr>
              <w:spacing w:after="0"/>
            </w:pPr>
            <w:r>
              <w:rPr>
                <w:rFonts w:ascii="Calibri" w:hAnsi="Calibri"/>
                <w:color w:val="243B53"/>
                <w:sz w:val="18"/>
              </w:rPr>
              <w:t>Organize a large note collection by topic.</w:t>
            </w:r>
          </w:p>
        </w:tc>
      </w:tr>
      <w:tr>
        <w:trPr>
          <w:cantSplit/>
        </w:trPr>
        <w:tc>
          <w:tcPr>
            <w:tcW w:type="dxa" w:w="1900"/>
            <w:tcMar>
              <w:top w:w="100" w:type="dxa"/>
              <w:start w:w="120" w:type="dxa"/>
              <w:bottom w:w="100" w:type="dxa"/>
              <w:end w:w="120" w:type="dxa"/>
            </w:tcMar>
            <w:vAlign w:val="center"/>
          </w:tcPr>
          <w:p>
            <w:pPr>
              <w:spacing w:after="0"/>
            </w:pPr>
            <w:r>
              <w:rPr>
                <w:rFonts w:ascii="Calibri" w:hAnsi="Calibri"/>
                <w:color w:val="243B53"/>
                <w:sz w:val="18"/>
              </w:rPr>
              <w:t>Classification</w:t>
            </w:r>
          </w:p>
        </w:tc>
        <w:tc>
          <w:tcPr>
            <w:tcW w:type="dxa" w:w="4180"/>
            <w:tcMar>
              <w:top w:w="100" w:type="dxa"/>
              <w:start w:w="120" w:type="dxa"/>
              <w:bottom w:w="100" w:type="dxa"/>
              <w:end w:w="120" w:type="dxa"/>
            </w:tcMar>
            <w:vAlign w:val="center"/>
          </w:tcPr>
          <w:p>
            <w:pPr>
              <w:spacing w:after="0"/>
            </w:pPr>
            <w:r>
              <w:rPr>
                <w:rFonts w:ascii="Calibri" w:hAnsi="Calibri"/>
                <w:color w:val="243B53"/>
                <w:sz w:val="18"/>
              </w:rPr>
              <w:t>Use embeddings as features or compare with labeled prototypes.</w:t>
            </w:r>
          </w:p>
        </w:tc>
        <w:tc>
          <w:tcPr>
            <w:tcW w:type="dxa" w:w="3280"/>
            <w:tcMar>
              <w:top w:w="100" w:type="dxa"/>
              <w:start w:w="120" w:type="dxa"/>
              <w:bottom w:w="100" w:type="dxa"/>
              <w:end w:w="120" w:type="dxa"/>
            </w:tcMar>
            <w:vAlign w:val="center"/>
          </w:tcPr>
          <w:p>
            <w:pPr>
              <w:spacing w:after="0"/>
            </w:pPr>
            <w:r>
              <w:rPr>
                <w:rFonts w:ascii="Calibri" w:hAnsi="Calibri"/>
                <w:color w:val="243B53"/>
                <w:sz w:val="18"/>
              </w:rPr>
              <w:t>Route support tickets by topic.</w:t>
            </w:r>
          </w:p>
        </w:tc>
      </w:tr>
      <w:tr>
        <w:trPr>
          <w:cantSplit/>
        </w:trPr>
        <w:tc>
          <w:tcPr>
            <w:tcW w:type="dxa" w:w="1900"/>
            <w:shd w:fill="F7FAFC"/>
            <w:tcMar>
              <w:top w:w="100" w:type="dxa"/>
              <w:start w:w="120" w:type="dxa"/>
              <w:bottom w:w="100" w:type="dxa"/>
              <w:end w:w="120" w:type="dxa"/>
            </w:tcMar>
            <w:vAlign w:val="center"/>
          </w:tcPr>
          <w:p>
            <w:pPr>
              <w:spacing w:after="0"/>
            </w:pPr>
            <w:r>
              <w:rPr>
                <w:rFonts w:ascii="Calibri" w:hAnsi="Calibri"/>
                <w:color w:val="243B53"/>
                <w:sz w:val="18"/>
              </w:rPr>
              <w:t>Duplicate detection</w:t>
            </w:r>
          </w:p>
        </w:tc>
        <w:tc>
          <w:tcPr>
            <w:tcW w:type="dxa" w:w="4180"/>
            <w:shd w:fill="F7FAFC"/>
            <w:tcMar>
              <w:top w:w="100" w:type="dxa"/>
              <w:start w:w="120" w:type="dxa"/>
              <w:bottom w:w="100" w:type="dxa"/>
              <w:end w:w="120" w:type="dxa"/>
            </w:tcMar>
            <w:vAlign w:val="center"/>
          </w:tcPr>
          <w:p>
            <w:pPr>
              <w:spacing w:after="0"/>
            </w:pPr>
            <w:r>
              <w:rPr>
                <w:rFonts w:ascii="Calibri" w:hAnsi="Calibri"/>
                <w:color w:val="243B53"/>
                <w:sz w:val="18"/>
              </w:rPr>
              <w:t>Find near-duplicate or paraphrased content.</w:t>
            </w:r>
          </w:p>
        </w:tc>
        <w:tc>
          <w:tcPr>
            <w:tcW w:type="dxa" w:w="3280"/>
            <w:shd w:fill="F7FAFC"/>
            <w:tcMar>
              <w:top w:w="100" w:type="dxa"/>
              <w:start w:w="120" w:type="dxa"/>
              <w:bottom w:w="100" w:type="dxa"/>
              <w:end w:w="120" w:type="dxa"/>
            </w:tcMar>
            <w:vAlign w:val="center"/>
          </w:tcPr>
          <w:p>
            <w:pPr>
              <w:spacing w:after="0"/>
            </w:pPr>
            <w:r>
              <w:rPr>
                <w:rFonts w:ascii="Calibri" w:hAnsi="Calibri"/>
                <w:color w:val="243B53"/>
                <w:sz w:val="18"/>
              </w:rPr>
              <w:t>Detect repeated document chunks.</w:t>
            </w:r>
          </w:p>
        </w:tc>
      </w:tr>
      <w:tr>
        <w:trPr>
          <w:cantSplit/>
        </w:trPr>
        <w:tc>
          <w:tcPr>
            <w:tcW w:type="dxa" w:w="1900"/>
            <w:tcMar>
              <w:top w:w="100" w:type="dxa"/>
              <w:start w:w="120" w:type="dxa"/>
              <w:bottom w:w="100" w:type="dxa"/>
              <w:end w:w="120" w:type="dxa"/>
            </w:tcMar>
            <w:vAlign w:val="center"/>
          </w:tcPr>
          <w:p>
            <w:pPr>
              <w:spacing w:after="0"/>
            </w:pPr>
            <w:r>
              <w:rPr>
                <w:rFonts w:ascii="Calibri" w:hAnsi="Calibri"/>
                <w:color w:val="243B53"/>
                <w:sz w:val="18"/>
              </w:rPr>
              <w:t>Anomaly detection</w:t>
            </w:r>
          </w:p>
        </w:tc>
        <w:tc>
          <w:tcPr>
            <w:tcW w:type="dxa" w:w="4180"/>
            <w:tcMar>
              <w:top w:w="100" w:type="dxa"/>
              <w:start w:w="120" w:type="dxa"/>
              <w:bottom w:w="100" w:type="dxa"/>
              <w:end w:w="120" w:type="dxa"/>
            </w:tcMar>
            <w:vAlign w:val="center"/>
          </w:tcPr>
          <w:p>
            <w:pPr>
              <w:spacing w:after="0"/>
            </w:pPr>
            <w:r>
              <w:rPr>
                <w:rFonts w:ascii="Calibri" w:hAnsi="Calibri"/>
                <w:color w:val="243B53"/>
                <w:sz w:val="18"/>
              </w:rPr>
              <w:t>Flag items far from known clusters.</w:t>
            </w:r>
          </w:p>
        </w:tc>
        <w:tc>
          <w:tcPr>
            <w:tcW w:type="dxa" w:w="3280"/>
            <w:tcMar>
              <w:top w:w="100" w:type="dxa"/>
              <w:start w:w="120" w:type="dxa"/>
              <w:bottom w:w="100" w:type="dxa"/>
              <w:end w:w="120" w:type="dxa"/>
            </w:tcMar>
            <w:vAlign w:val="center"/>
          </w:tcPr>
          <w:p>
            <w:pPr>
              <w:spacing w:after="0"/>
            </w:pPr>
            <w:r>
              <w:rPr>
                <w:rFonts w:ascii="Calibri" w:hAnsi="Calibri"/>
                <w:color w:val="243B53"/>
                <w:sz w:val="18"/>
              </w:rPr>
              <w:t>Identify unusual transactions or logs.</w:t>
            </w:r>
          </w:p>
        </w:tc>
      </w:tr>
      <w:tr>
        <w:trPr>
          <w:cantSplit/>
        </w:trPr>
        <w:tc>
          <w:tcPr>
            <w:tcW w:type="dxa" w:w="1900"/>
            <w:shd w:fill="F7FAFC"/>
            <w:tcMar>
              <w:top w:w="100" w:type="dxa"/>
              <w:start w:w="120" w:type="dxa"/>
              <w:bottom w:w="100" w:type="dxa"/>
              <w:end w:w="120" w:type="dxa"/>
            </w:tcMar>
            <w:vAlign w:val="center"/>
          </w:tcPr>
          <w:p>
            <w:pPr>
              <w:spacing w:after="0"/>
            </w:pPr>
            <w:r>
              <w:rPr>
                <w:rFonts w:ascii="Calibri" w:hAnsi="Calibri"/>
                <w:color w:val="243B53"/>
                <w:sz w:val="18"/>
              </w:rPr>
              <w:t>Multimodal retrieval</w:t>
            </w:r>
          </w:p>
        </w:tc>
        <w:tc>
          <w:tcPr>
            <w:tcW w:type="dxa" w:w="4180"/>
            <w:shd w:fill="F7FAFC"/>
            <w:tcMar>
              <w:top w:w="100" w:type="dxa"/>
              <w:start w:w="120" w:type="dxa"/>
              <w:bottom w:w="100" w:type="dxa"/>
              <w:end w:w="120" w:type="dxa"/>
            </w:tcMar>
            <w:vAlign w:val="center"/>
          </w:tcPr>
          <w:p>
            <w:pPr>
              <w:spacing w:after="0"/>
            </w:pPr>
            <w:r>
              <w:rPr>
                <w:rFonts w:ascii="Calibri" w:hAnsi="Calibri"/>
                <w:color w:val="243B53"/>
                <w:sz w:val="18"/>
              </w:rPr>
              <w:t>Place text and images in related spaces when a model supports it.</w:t>
            </w:r>
          </w:p>
        </w:tc>
        <w:tc>
          <w:tcPr>
            <w:tcW w:type="dxa" w:w="3280"/>
            <w:shd w:fill="F7FAFC"/>
            <w:tcMar>
              <w:top w:w="100" w:type="dxa"/>
              <w:start w:w="120" w:type="dxa"/>
              <w:bottom w:w="100" w:type="dxa"/>
              <w:end w:w="120" w:type="dxa"/>
            </w:tcMar>
            <w:vAlign w:val="center"/>
          </w:tcPr>
          <w:p>
            <w:pPr>
              <w:spacing w:after="0"/>
            </w:pPr>
            <w:r>
              <w:rPr>
                <w:rFonts w:ascii="Calibri" w:hAnsi="Calibri"/>
                <w:color w:val="243B53"/>
                <w:sz w:val="18"/>
              </w:rPr>
              <w:t>Find diagrams using a text query.</w:t>
            </w:r>
          </w:p>
        </w:tc>
      </w:tr>
    </w:tbl>
    <w:p>
      <w:pPr>
        <w:spacing w:after="20"/>
      </w:pPr>
    </w:p>
    <w:p>
      <w:pPr>
        <w:pStyle w:val="Heading2"/>
      </w:pPr>
      <w:r>
        <w:t>RAG: the most relevant project example</w:t>
      </w:r>
    </w:p>
    <w:p>
      <w:pPr>
        <w:spacing w:before="80" w:after="60"/>
        <w:jc w:val="center"/>
      </w:pPr>
      <w:r>
        <w:drawing>
          <wp:inline xmlns:a="http://schemas.openxmlformats.org/drawingml/2006/main" xmlns:pic="http://schemas.openxmlformats.org/drawingml/2006/picture">
            <wp:extent cx="5897880" cy="2437790"/>
            <wp:docPr id="3" name="Picture 3" title="RAG pipeline" descr="A user question is embedded and used for vector search. Relevant chunks and the original question are provided to a language model, which generates an answer from that context."/>
            <wp:cNvGraphicFramePr>
              <a:graphicFrameLocks noChangeAspect="1"/>
            </wp:cNvGraphicFramePr>
            <a:graphic>
              <a:graphicData uri="http://schemas.openxmlformats.org/drawingml/2006/picture">
                <pic:pic>
                  <pic:nvPicPr>
                    <pic:cNvPr id="0" name="rag_pipeline.png"/>
                    <pic:cNvPicPr/>
                  </pic:nvPicPr>
                  <pic:blipFill>
                    <a:blip r:embed="rId13"/>
                    <a:stretch>
                      <a:fillRect/>
                    </a:stretch>
                  </pic:blipFill>
                  <pic:spPr>
                    <a:xfrm>
                      <a:off x="0" y="0"/>
                      <a:ext cx="5897880" cy="2437790"/>
                    </a:xfrm>
                    <a:prstGeom prst="rect"/>
                  </pic:spPr>
                </pic:pic>
              </a:graphicData>
            </a:graphic>
          </wp:inline>
        </w:drawing>
      </w:r>
    </w:p>
    <w:p>
      <w:pPr>
        <w:spacing w:after="160"/>
        <w:jc w:val="center"/>
      </w:pPr>
      <w:r>
        <w:rPr>
          <w:rFonts w:ascii="Calibri" w:hAnsi="Calibri"/>
          <w:i/>
          <w:color w:val="627D98"/>
          <w:sz w:val="17"/>
        </w:rPr>
        <w:t>Figure 3. A basic RAG retrieval and generation flow.</w:t>
      </w:r>
    </w:p>
    <w:p>
      <w:pPr>
        <w:keepLines/>
        <w:spacing w:before="100" w:after="180"/>
        <w:ind w:left="202" w:right="115"/>
        <w:shd w:fill="FFF4E5"/>
        <w:pBdr>
          <w:left w:val="single" w:sz="20" w:space="8" w:color="D97706"/>
        </w:pBdr>
      </w:pPr>
      <w:r>
        <w:rPr>
          <w:rFonts w:ascii="Calibri" w:hAnsi="Calibri"/>
          <w:b/>
          <w:color w:val="D97706"/>
          <w:sz w:val="20"/>
        </w:rPr>
        <w:t xml:space="preserve">Key insight  </w:t>
      </w:r>
      <w:r>
        <w:rPr>
          <w:rFonts w:ascii="Calibri" w:hAnsi="Calibri"/>
          <w:color w:val="243B53"/>
          <w:sz w:val="20"/>
        </w:rPr>
        <w:t>RAG quality is limited by retrieval quality. Poor extraction, chunking, model choice, filtering, or stale vector-store state cannot be repaired reliably by the language model.</w:t>
      </w:r>
    </w:p>
    <w:p>
      <w:r>
        <w:br w:type="page"/>
      </w:r>
    </w:p>
    <w:p>
      <w:pPr>
        <w:pStyle w:val="Heading1"/>
      </w:pPr>
      <w:r>
        <w:t>7. Why embeddings need version control</w:t>
      </w:r>
    </w:p>
    <w:p>
      <w:r>
        <w:rPr>
          <w:rFonts w:ascii="Calibri" w:hAnsi="Calibri"/>
          <w:i w:val="0"/>
          <w:color w:val="243B53"/>
        </w:rPr>
        <w:t>Embeddings are derived artifacts. They can become stale when their source, chunk, preprocessing, model, or metadata changes. Rebuilding everything is correct but may be wasteful; reusing everything is cheap but may be wrong. EmbedGit must make that decision explicit and reproducible.</w:t>
      </w:r>
    </w:p>
    <w:p>
      <w:pPr>
        <w:pStyle w:val="Heading2"/>
      </w:pPr>
      <w:r>
        <w:t>The four states we must keep separate</w:t>
      </w:r>
    </w:p>
    <w:tbl>
      <w:tblPr>
        <w:tblStyle w:val="TableGrid"/>
        <w:tblW w:type="dxa" w:w="9360"/>
        <w:tblLayout w:type="fixed"/>
        <w:tblLook w:firstColumn="1" w:firstRow="1" w:lastColumn="0" w:lastRow="0" w:noHBand="0" w:noVBand="1" w:val="04A0"/>
        <w:jc w:val="left"/>
        <w:tblInd w:w="120" w:type="dxa"/>
      </w:tblPr>
      <w:tblGrid>
        <w:gridCol w:w="2050"/>
        <w:gridCol w:w="3540"/>
        <w:gridCol w:w="3770"/>
      </w:tblGrid>
      <w:tr>
        <w:trPr>
          <w:cantSplit/>
          <w:tblHeader w:val="true"/>
          <w:cantSplit/>
        </w:trPr>
        <w:tc>
          <w:tcPr>
            <w:tcW w:type="dxa" w:w="2050"/>
            <w:tcMar>
              <w:top w:w="100" w:type="dxa"/>
              <w:start w:w="120" w:type="dxa"/>
              <w:bottom w:w="100" w:type="dxa"/>
              <w:end w:w="120" w:type="dxa"/>
            </w:tcMar>
            <w:vAlign w:val="center"/>
            <w:shd w:fill="102A43"/>
          </w:tcPr>
          <w:p>
            <w:pPr>
              <w:spacing w:after="0"/>
            </w:pPr>
            <w:r>
              <w:rPr>
                <w:rFonts w:ascii="Calibri" w:hAnsi="Calibri"/>
                <w:b/>
                <w:color w:val="FFFFFF"/>
                <w:sz w:val="18"/>
              </w:rPr>
              <w:t>State</w:t>
            </w:r>
          </w:p>
        </w:tc>
        <w:tc>
          <w:tcPr>
            <w:tcW w:type="dxa" w:w="3540"/>
            <w:tcMar>
              <w:top w:w="100" w:type="dxa"/>
              <w:start w:w="120" w:type="dxa"/>
              <w:bottom w:w="100" w:type="dxa"/>
              <w:end w:w="120" w:type="dxa"/>
            </w:tcMar>
            <w:vAlign w:val="center"/>
            <w:shd w:fill="102A43"/>
          </w:tcPr>
          <w:p>
            <w:pPr>
              <w:spacing w:after="0"/>
            </w:pPr>
            <w:r>
              <w:rPr>
                <w:rFonts w:ascii="Calibri" w:hAnsi="Calibri"/>
                <w:b/>
                <w:color w:val="FFFFFF"/>
                <w:sz w:val="18"/>
              </w:rPr>
              <w:t>What changes</w:t>
            </w:r>
          </w:p>
        </w:tc>
        <w:tc>
          <w:tcPr>
            <w:tcW w:type="dxa" w:w="3770"/>
            <w:tcMar>
              <w:top w:w="100" w:type="dxa"/>
              <w:start w:w="120" w:type="dxa"/>
              <w:bottom w:w="100" w:type="dxa"/>
              <w:end w:w="120" w:type="dxa"/>
            </w:tcMar>
            <w:vAlign w:val="center"/>
            <w:shd w:fill="102A43"/>
          </w:tcPr>
          <w:p>
            <w:pPr>
              <w:spacing w:after="0"/>
            </w:pPr>
            <w:r>
              <w:rPr>
                <w:rFonts w:ascii="Calibri" w:hAnsi="Calibri"/>
                <w:b/>
                <w:color w:val="FFFFFF"/>
                <w:sz w:val="18"/>
              </w:rPr>
              <w:t>What EmbedGit records</w:t>
            </w:r>
          </w:p>
        </w:tc>
      </w:tr>
      <w:tr>
        <w:trPr>
          <w:cantSplit/>
        </w:trPr>
        <w:tc>
          <w:tcPr>
            <w:tcW w:type="dxa" w:w="2050"/>
            <w:tcMar>
              <w:top w:w="100" w:type="dxa"/>
              <w:start w:w="120" w:type="dxa"/>
              <w:bottom w:w="100" w:type="dxa"/>
              <w:end w:w="120" w:type="dxa"/>
            </w:tcMar>
            <w:vAlign w:val="center"/>
          </w:tcPr>
          <w:p>
            <w:pPr>
              <w:spacing w:after="0"/>
            </w:pPr>
            <w:r>
              <w:rPr>
                <w:rFonts w:ascii="Calibri" w:hAnsi="Calibri"/>
                <w:color w:val="243B53"/>
                <w:sz w:val="18"/>
              </w:rPr>
              <w:t>Source documents</w:t>
            </w:r>
          </w:p>
        </w:tc>
        <w:tc>
          <w:tcPr>
            <w:tcW w:type="dxa" w:w="3540"/>
            <w:tcMar>
              <w:top w:w="100" w:type="dxa"/>
              <w:start w:w="120" w:type="dxa"/>
              <w:bottom w:w="100" w:type="dxa"/>
              <w:end w:w="120" w:type="dxa"/>
            </w:tcMar>
            <w:vAlign w:val="center"/>
          </w:tcPr>
          <w:p>
            <w:pPr>
              <w:spacing w:after="0"/>
            </w:pPr>
            <w:r>
              <w:rPr>
                <w:rFonts w:ascii="Calibri" w:hAnsi="Calibri"/>
                <w:color w:val="243B53"/>
                <w:sz w:val="18"/>
              </w:rPr>
              <w:t>File content or source metadata</w:t>
            </w:r>
          </w:p>
        </w:tc>
        <w:tc>
          <w:tcPr>
            <w:tcW w:type="dxa" w:w="3770"/>
            <w:tcMar>
              <w:top w:w="100" w:type="dxa"/>
              <w:start w:w="120" w:type="dxa"/>
              <w:bottom w:w="100" w:type="dxa"/>
              <w:end w:w="120" w:type="dxa"/>
            </w:tcMar>
            <w:vAlign w:val="center"/>
          </w:tcPr>
          <w:p>
            <w:pPr>
              <w:spacing w:after="0"/>
            </w:pPr>
            <w:r>
              <w:rPr>
                <w:rFonts w:ascii="Calibri" w:hAnsi="Calibri"/>
                <w:color w:val="243B53"/>
                <w:sz w:val="18"/>
              </w:rPr>
              <w:t>Document hash, path, extraction metadata</w:t>
            </w:r>
          </w:p>
        </w:tc>
      </w:tr>
      <w:tr>
        <w:trPr>
          <w:cantSplit/>
        </w:trPr>
        <w:tc>
          <w:tcPr>
            <w:tcW w:type="dxa" w:w="2050"/>
            <w:shd w:fill="F7FAFC"/>
            <w:tcMar>
              <w:top w:w="100" w:type="dxa"/>
              <w:start w:w="120" w:type="dxa"/>
              <w:bottom w:w="100" w:type="dxa"/>
              <w:end w:w="120" w:type="dxa"/>
            </w:tcMar>
            <w:vAlign w:val="center"/>
          </w:tcPr>
          <w:p>
            <w:pPr>
              <w:spacing w:after="0"/>
            </w:pPr>
            <w:r>
              <w:rPr>
                <w:rFonts w:ascii="Calibri" w:hAnsi="Calibri"/>
                <w:color w:val="243B53"/>
                <w:sz w:val="18"/>
              </w:rPr>
              <w:t>Chunks</w:t>
            </w:r>
          </w:p>
        </w:tc>
        <w:tc>
          <w:tcPr>
            <w:tcW w:type="dxa" w:w="3540"/>
            <w:shd w:fill="F7FAFC"/>
            <w:tcMar>
              <w:top w:w="100" w:type="dxa"/>
              <w:start w:w="120" w:type="dxa"/>
              <w:bottom w:w="100" w:type="dxa"/>
              <w:end w:w="120" w:type="dxa"/>
            </w:tcMar>
            <w:vAlign w:val="center"/>
          </w:tcPr>
          <w:p>
            <w:pPr>
              <w:spacing w:after="0"/>
            </w:pPr>
            <w:r>
              <w:rPr>
                <w:rFonts w:ascii="Calibri" w:hAnsi="Calibri"/>
                <w:color w:val="243B53"/>
                <w:sz w:val="18"/>
              </w:rPr>
              <w:t>Normalized text or boundaries</w:t>
            </w:r>
          </w:p>
        </w:tc>
        <w:tc>
          <w:tcPr>
            <w:tcW w:type="dxa" w:w="3770"/>
            <w:shd w:fill="F7FAFC"/>
            <w:tcMar>
              <w:top w:w="100" w:type="dxa"/>
              <w:start w:w="120" w:type="dxa"/>
              <w:bottom w:w="100" w:type="dxa"/>
              <w:end w:w="120" w:type="dxa"/>
            </w:tcMar>
            <w:vAlign w:val="center"/>
          </w:tcPr>
          <w:p>
            <w:pPr>
              <w:spacing w:after="0"/>
            </w:pPr>
            <w:r>
              <w:rPr>
                <w:rFonts w:ascii="Calibri" w:hAnsi="Calibri"/>
                <w:color w:val="243B53"/>
                <w:sz w:val="18"/>
              </w:rPr>
              <w:t>Chunk ID, chunk hash, source mapping</w:t>
            </w:r>
          </w:p>
        </w:tc>
      </w:tr>
      <w:tr>
        <w:trPr>
          <w:cantSplit/>
        </w:trPr>
        <w:tc>
          <w:tcPr>
            <w:tcW w:type="dxa" w:w="2050"/>
            <w:tcMar>
              <w:top w:w="100" w:type="dxa"/>
              <w:start w:w="120" w:type="dxa"/>
              <w:bottom w:w="100" w:type="dxa"/>
              <w:end w:w="120" w:type="dxa"/>
            </w:tcMar>
            <w:vAlign w:val="center"/>
          </w:tcPr>
          <w:p>
            <w:pPr>
              <w:spacing w:after="0"/>
            </w:pPr>
            <w:r>
              <w:rPr>
                <w:rFonts w:ascii="Calibri" w:hAnsi="Calibri"/>
                <w:color w:val="243B53"/>
                <w:sz w:val="18"/>
              </w:rPr>
              <w:t>Embedding objects</w:t>
            </w:r>
          </w:p>
        </w:tc>
        <w:tc>
          <w:tcPr>
            <w:tcW w:type="dxa" w:w="3540"/>
            <w:tcMar>
              <w:top w:w="100" w:type="dxa"/>
              <w:start w:w="120" w:type="dxa"/>
              <w:bottom w:w="100" w:type="dxa"/>
              <w:end w:w="120" w:type="dxa"/>
            </w:tcMar>
            <w:vAlign w:val="center"/>
          </w:tcPr>
          <w:p>
            <w:pPr>
              <w:spacing w:after="0"/>
            </w:pPr>
            <w:r>
              <w:rPr>
                <w:rFonts w:ascii="Calibri" w:hAnsi="Calibri"/>
                <w:color w:val="243B53"/>
                <w:sz w:val="18"/>
              </w:rPr>
              <w:t>Vector derived from chunk + configuration</w:t>
            </w:r>
          </w:p>
        </w:tc>
        <w:tc>
          <w:tcPr>
            <w:tcW w:type="dxa" w:w="3770"/>
            <w:tcMar>
              <w:top w:w="100" w:type="dxa"/>
              <w:start w:w="120" w:type="dxa"/>
              <w:bottom w:w="100" w:type="dxa"/>
              <w:end w:w="120" w:type="dxa"/>
            </w:tcMar>
            <w:vAlign w:val="center"/>
          </w:tcPr>
          <w:p>
            <w:pPr>
              <w:spacing w:after="0"/>
            </w:pPr>
            <w:r>
              <w:rPr>
                <w:rFonts w:ascii="Calibri" w:hAnsi="Calibri"/>
                <w:color w:val="243B53"/>
                <w:sz w:val="18"/>
              </w:rPr>
              <w:t>Immutable vector object and provenance</w:t>
            </w:r>
          </w:p>
        </w:tc>
      </w:tr>
      <w:tr>
        <w:trPr>
          <w:cantSplit/>
        </w:trPr>
        <w:tc>
          <w:tcPr>
            <w:tcW w:type="dxa" w:w="2050"/>
            <w:shd w:fill="F7FAFC"/>
            <w:tcMar>
              <w:top w:w="100" w:type="dxa"/>
              <w:start w:w="120" w:type="dxa"/>
              <w:bottom w:w="100" w:type="dxa"/>
              <w:end w:w="120" w:type="dxa"/>
            </w:tcMar>
            <w:vAlign w:val="center"/>
          </w:tcPr>
          <w:p>
            <w:pPr>
              <w:spacing w:after="0"/>
            </w:pPr>
            <w:r>
              <w:rPr>
                <w:rFonts w:ascii="Calibri" w:hAnsi="Calibri"/>
                <w:color w:val="243B53"/>
                <w:sz w:val="18"/>
              </w:rPr>
              <w:t>Vector-store state</w:t>
            </w:r>
          </w:p>
        </w:tc>
        <w:tc>
          <w:tcPr>
            <w:tcW w:type="dxa" w:w="3540"/>
            <w:shd w:fill="F7FAFC"/>
            <w:tcMar>
              <w:top w:w="100" w:type="dxa"/>
              <w:start w:w="120" w:type="dxa"/>
              <w:bottom w:w="100" w:type="dxa"/>
              <w:end w:w="120" w:type="dxa"/>
            </w:tcMar>
            <w:vAlign w:val="center"/>
          </w:tcPr>
          <w:p>
            <w:pPr>
              <w:spacing w:after="0"/>
            </w:pPr>
            <w:r>
              <w:rPr>
                <w:rFonts w:ascii="Calibri" w:hAnsi="Calibri"/>
                <w:color w:val="243B53"/>
                <w:sz w:val="18"/>
              </w:rPr>
              <w:t>Materialized indexed collection</w:t>
            </w:r>
          </w:p>
        </w:tc>
        <w:tc>
          <w:tcPr>
            <w:tcW w:type="dxa" w:w="3770"/>
            <w:shd w:fill="F7FAFC"/>
            <w:tcMar>
              <w:top w:w="100" w:type="dxa"/>
              <w:start w:w="120" w:type="dxa"/>
              <w:bottom w:w="100" w:type="dxa"/>
              <w:end w:w="120" w:type="dxa"/>
            </w:tcMar>
            <w:vAlign w:val="center"/>
          </w:tcPr>
          <w:p>
            <w:pPr>
              <w:spacing w:after="0"/>
            </w:pPr>
            <w:r>
              <w:rPr>
                <w:rFonts w:ascii="Calibri" w:hAnsi="Calibri"/>
                <w:color w:val="243B53"/>
                <w:sz w:val="18"/>
              </w:rPr>
              <w:t>Which commit is synchronized</w:t>
            </w:r>
          </w:p>
        </w:tc>
      </w:tr>
      <w:tr>
        <w:trPr>
          <w:cantSplit/>
        </w:trPr>
        <w:tc>
          <w:tcPr>
            <w:tcW w:type="dxa" w:w="2050"/>
            <w:tcMar>
              <w:top w:w="100" w:type="dxa"/>
              <w:start w:w="120" w:type="dxa"/>
              <w:bottom w:w="100" w:type="dxa"/>
              <w:end w:w="120" w:type="dxa"/>
            </w:tcMar>
            <w:vAlign w:val="center"/>
          </w:tcPr>
          <w:p>
            <w:pPr>
              <w:spacing w:after="0"/>
            </w:pPr>
            <w:r>
              <w:rPr>
                <w:rFonts w:ascii="Calibri" w:hAnsi="Calibri"/>
                <w:color w:val="243B53"/>
                <w:sz w:val="18"/>
              </w:rPr>
              <w:t>Model configuration</w:t>
            </w:r>
          </w:p>
        </w:tc>
        <w:tc>
          <w:tcPr>
            <w:tcW w:type="dxa" w:w="3540"/>
            <w:tcMar>
              <w:top w:w="100" w:type="dxa"/>
              <w:start w:w="120" w:type="dxa"/>
              <w:bottom w:w="100" w:type="dxa"/>
              <w:end w:w="120" w:type="dxa"/>
            </w:tcMar>
            <w:vAlign w:val="center"/>
          </w:tcPr>
          <w:p>
            <w:pPr>
              <w:spacing w:after="0"/>
            </w:pPr>
            <w:r>
              <w:rPr>
                <w:rFonts w:ascii="Calibri" w:hAnsi="Calibri"/>
                <w:color w:val="243B53"/>
                <w:sz w:val="18"/>
              </w:rPr>
              <w:t>Model revision, tokenizer, pooling, normalization</w:t>
            </w:r>
          </w:p>
        </w:tc>
        <w:tc>
          <w:tcPr>
            <w:tcW w:type="dxa" w:w="3770"/>
            <w:tcMar>
              <w:top w:w="100" w:type="dxa"/>
              <w:start w:w="120" w:type="dxa"/>
              <w:bottom w:w="100" w:type="dxa"/>
              <w:end w:w="120" w:type="dxa"/>
            </w:tcMar>
            <w:vAlign w:val="center"/>
          </w:tcPr>
          <w:p>
            <w:pPr>
              <w:spacing w:after="0"/>
            </w:pPr>
            <w:r>
              <w:rPr>
                <w:rFonts w:ascii="Calibri" w:hAnsi="Calibri"/>
                <w:color w:val="243B53"/>
                <w:sz w:val="18"/>
              </w:rPr>
              <w:t>Configuration object and hash</w:t>
            </w:r>
          </w:p>
        </w:tc>
      </w:tr>
    </w:tbl>
    <w:p>
      <w:pPr>
        <w:spacing w:after="20"/>
      </w:pPr>
    </w:p>
    <w:p>
      <w:pPr>
        <w:pStyle w:val="Heading2"/>
      </w:pPr>
      <w:r>
        <w:t>Safe reuse and invalidation</w:t>
      </w:r>
    </w:p>
    <w:tbl>
      <w:tblPr>
        <w:tblStyle w:val="TableGrid"/>
        <w:tblW w:type="dxa" w:w="9360"/>
        <w:tblLayout w:type="fixed"/>
        <w:tblLook w:firstColumn="1" w:firstRow="1" w:lastColumn="0" w:lastRow="0" w:noHBand="0" w:noVBand="1" w:val="04A0"/>
        <w:jc w:val="left"/>
        <w:tblInd w:w="120" w:type="dxa"/>
      </w:tblPr>
      <w:tblGrid>
        <w:gridCol w:w="3700"/>
        <w:gridCol w:w="2250"/>
        <w:gridCol w:w="3410"/>
      </w:tblGrid>
      <w:tr>
        <w:trPr>
          <w:cantSplit/>
          <w:tblHeader w:val="true"/>
          <w:cantSplit/>
        </w:trPr>
        <w:tc>
          <w:tcPr>
            <w:tcW w:type="dxa" w:w="3700"/>
            <w:tcMar>
              <w:top w:w="100" w:type="dxa"/>
              <w:start w:w="120" w:type="dxa"/>
              <w:bottom w:w="100" w:type="dxa"/>
              <w:end w:w="120" w:type="dxa"/>
            </w:tcMar>
            <w:vAlign w:val="center"/>
            <w:shd w:fill="102A43"/>
          </w:tcPr>
          <w:p>
            <w:pPr>
              <w:spacing w:after="0"/>
            </w:pPr>
            <w:r>
              <w:rPr>
                <w:rFonts w:ascii="Calibri" w:hAnsi="Calibri"/>
                <w:b/>
                <w:color w:val="FFFFFF"/>
                <w:sz w:val="18"/>
              </w:rPr>
              <w:t>Situation</w:t>
            </w:r>
          </w:p>
        </w:tc>
        <w:tc>
          <w:tcPr>
            <w:tcW w:type="dxa" w:w="2250"/>
            <w:tcMar>
              <w:top w:w="100" w:type="dxa"/>
              <w:start w:w="120" w:type="dxa"/>
              <w:bottom w:w="100" w:type="dxa"/>
              <w:end w:w="120" w:type="dxa"/>
            </w:tcMar>
            <w:vAlign w:val="center"/>
            <w:shd w:fill="102A43"/>
          </w:tcPr>
          <w:p>
            <w:pPr>
              <w:spacing w:after="0"/>
            </w:pPr>
            <w:r>
              <w:rPr>
                <w:rFonts w:ascii="Calibri" w:hAnsi="Calibri"/>
                <w:b/>
                <w:color w:val="FFFFFF"/>
                <w:sz w:val="18"/>
              </w:rPr>
              <w:t>Classification</w:t>
            </w:r>
          </w:p>
        </w:tc>
        <w:tc>
          <w:tcPr>
            <w:tcW w:type="dxa" w:w="3410"/>
            <w:tcMar>
              <w:top w:w="100" w:type="dxa"/>
              <w:start w:w="120" w:type="dxa"/>
              <w:bottom w:w="100" w:type="dxa"/>
              <w:end w:w="120" w:type="dxa"/>
            </w:tcMar>
            <w:vAlign w:val="center"/>
            <w:shd w:fill="102A43"/>
          </w:tcPr>
          <w:p>
            <w:pPr>
              <w:spacing w:after="0"/>
            </w:pPr>
            <w:r>
              <w:rPr>
                <w:rFonts w:ascii="Calibri" w:hAnsi="Calibri"/>
                <w:b/>
                <w:color w:val="FFFFFF"/>
                <w:sz w:val="18"/>
              </w:rPr>
              <w:t>Action</w:t>
            </w:r>
          </w:p>
        </w:tc>
      </w:tr>
      <w:tr>
        <w:trPr>
          <w:cantSplit/>
        </w:trPr>
        <w:tc>
          <w:tcPr>
            <w:tcW w:type="dxa" w:w="3700"/>
            <w:tcMar>
              <w:top w:w="100" w:type="dxa"/>
              <w:start w:w="120" w:type="dxa"/>
              <w:bottom w:w="100" w:type="dxa"/>
              <w:end w:w="120" w:type="dxa"/>
            </w:tcMar>
            <w:vAlign w:val="center"/>
          </w:tcPr>
          <w:p>
            <w:pPr>
              <w:spacing w:after="0"/>
            </w:pPr>
            <w:r>
              <w:rPr>
                <w:rFonts w:ascii="Calibri" w:hAnsi="Calibri"/>
                <w:color w:val="243B53"/>
                <w:sz w:val="18"/>
              </w:rPr>
              <w:t>Same normalized chunk + same configuration</w:t>
            </w:r>
          </w:p>
        </w:tc>
        <w:tc>
          <w:tcPr>
            <w:tcW w:type="dxa" w:w="2250"/>
            <w:tcMar>
              <w:top w:w="100" w:type="dxa"/>
              <w:start w:w="120" w:type="dxa"/>
              <w:bottom w:w="100" w:type="dxa"/>
              <w:end w:w="120" w:type="dxa"/>
            </w:tcMar>
            <w:vAlign w:val="center"/>
          </w:tcPr>
          <w:p>
            <w:pPr>
              <w:spacing w:after="0"/>
            </w:pPr>
            <w:r>
              <w:rPr>
                <w:rFonts w:ascii="Calibri" w:hAnsi="Calibri"/>
                <w:color w:val="243B53"/>
                <w:sz w:val="18"/>
              </w:rPr>
              <w:t>UNCHANGED</w:t>
            </w:r>
          </w:p>
        </w:tc>
        <w:tc>
          <w:tcPr>
            <w:tcW w:type="dxa" w:w="3410"/>
            <w:tcMar>
              <w:top w:w="100" w:type="dxa"/>
              <w:start w:w="120" w:type="dxa"/>
              <w:bottom w:w="100" w:type="dxa"/>
              <w:end w:w="120" w:type="dxa"/>
            </w:tcMar>
            <w:vAlign w:val="center"/>
          </w:tcPr>
          <w:p>
            <w:pPr>
              <w:spacing w:after="0"/>
            </w:pPr>
            <w:r>
              <w:rPr>
                <w:rFonts w:ascii="Calibri" w:hAnsi="Calibri"/>
                <w:color w:val="243B53"/>
                <w:sz w:val="18"/>
              </w:rPr>
              <w:t>Reuse existing embedding object</w:t>
            </w:r>
          </w:p>
        </w:tc>
      </w:tr>
      <w:tr>
        <w:trPr>
          <w:cantSplit/>
        </w:trPr>
        <w:tc>
          <w:tcPr>
            <w:tcW w:type="dxa" w:w="3700"/>
            <w:shd w:fill="F7FAFC"/>
            <w:tcMar>
              <w:top w:w="100" w:type="dxa"/>
              <w:start w:w="120" w:type="dxa"/>
              <w:bottom w:w="100" w:type="dxa"/>
              <w:end w:w="120" w:type="dxa"/>
            </w:tcMar>
            <w:vAlign w:val="center"/>
          </w:tcPr>
          <w:p>
            <w:pPr>
              <w:spacing w:after="0"/>
            </w:pPr>
            <w:r>
              <w:rPr>
                <w:rFonts w:ascii="Calibri" w:hAnsi="Calibri"/>
                <w:color w:val="243B53"/>
                <w:sz w:val="18"/>
              </w:rPr>
              <w:t>Changed or new chunk + same configuration</w:t>
            </w:r>
          </w:p>
        </w:tc>
        <w:tc>
          <w:tcPr>
            <w:tcW w:type="dxa" w:w="2250"/>
            <w:shd w:fill="F7FAFC"/>
            <w:tcMar>
              <w:top w:w="100" w:type="dxa"/>
              <w:start w:w="120" w:type="dxa"/>
              <w:bottom w:w="100" w:type="dxa"/>
              <w:end w:w="120" w:type="dxa"/>
            </w:tcMar>
            <w:vAlign w:val="center"/>
          </w:tcPr>
          <w:p>
            <w:pPr>
              <w:spacing w:after="0"/>
            </w:pPr>
            <w:r>
              <w:rPr>
                <w:rFonts w:ascii="Calibri" w:hAnsi="Calibri"/>
                <w:color w:val="243B53"/>
                <w:sz w:val="18"/>
              </w:rPr>
              <w:t>MODIFIED / ADDED</w:t>
            </w:r>
          </w:p>
        </w:tc>
        <w:tc>
          <w:tcPr>
            <w:tcW w:type="dxa" w:w="3410"/>
            <w:shd w:fill="F7FAFC"/>
            <w:tcMar>
              <w:top w:w="100" w:type="dxa"/>
              <w:start w:w="120" w:type="dxa"/>
              <w:bottom w:w="100" w:type="dxa"/>
              <w:end w:w="120" w:type="dxa"/>
            </w:tcMar>
            <w:vAlign w:val="center"/>
          </w:tcPr>
          <w:p>
            <w:pPr>
              <w:spacing w:after="0"/>
            </w:pPr>
            <w:r>
              <w:rPr>
                <w:rFonts w:ascii="Calibri" w:hAnsi="Calibri"/>
                <w:color w:val="243B53"/>
                <w:sz w:val="18"/>
              </w:rPr>
              <w:t>Generate affected embedding</w:t>
            </w:r>
          </w:p>
        </w:tc>
      </w:tr>
      <w:tr>
        <w:trPr>
          <w:cantSplit/>
        </w:trPr>
        <w:tc>
          <w:tcPr>
            <w:tcW w:type="dxa" w:w="3700"/>
            <w:tcMar>
              <w:top w:w="100" w:type="dxa"/>
              <w:start w:w="120" w:type="dxa"/>
              <w:bottom w:w="100" w:type="dxa"/>
              <w:end w:w="120" w:type="dxa"/>
            </w:tcMar>
            <w:vAlign w:val="center"/>
          </w:tcPr>
          <w:p>
            <w:pPr>
              <w:spacing w:after="0"/>
            </w:pPr>
            <w:r>
              <w:rPr>
                <w:rFonts w:ascii="Calibri" w:hAnsi="Calibri"/>
                <w:color w:val="243B53"/>
                <w:sz w:val="18"/>
              </w:rPr>
              <w:t>Same chunk + changed effective configuration</w:t>
            </w:r>
          </w:p>
        </w:tc>
        <w:tc>
          <w:tcPr>
            <w:tcW w:type="dxa" w:w="2250"/>
            <w:tcMar>
              <w:top w:w="100" w:type="dxa"/>
              <w:start w:w="120" w:type="dxa"/>
              <w:bottom w:w="100" w:type="dxa"/>
              <w:end w:w="120" w:type="dxa"/>
            </w:tcMar>
            <w:vAlign w:val="center"/>
          </w:tcPr>
          <w:p>
            <w:pPr>
              <w:spacing w:after="0"/>
            </w:pPr>
            <w:r>
              <w:rPr>
                <w:rFonts w:ascii="Calibri" w:hAnsi="Calibri"/>
                <w:color w:val="243B53"/>
                <w:sz w:val="18"/>
              </w:rPr>
              <w:t>STALE</w:t>
            </w:r>
          </w:p>
        </w:tc>
        <w:tc>
          <w:tcPr>
            <w:tcW w:type="dxa" w:w="3410"/>
            <w:tcMar>
              <w:top w:w="100" w:type="dxa"/>
              <w:start w:w="120" w:type="dxa"/>
              <w:bottom w:w="100" w:type="dxa"/>
              <w:end w:w="120" w:type="dxa"/>
            </w:tcMar>
            <w:vAlign w:val="center"/>
          </w:tcPr>
          <w:p>
            <w:pPr>
              <w:spacing w:after="0"/>
            </w:pPr>
            <w:r>
              <w:rPr>
                <w:rFonts w:ascii="Calibri" w:hAnsi="Calibri"/>
                <w:color w:val="243B53"/>
                <w:sz w:val="18"/>
              </w:rPr>
              <w:t>Regenerate before valid commit</w:t>
            </w:r>
          </w:p>
        </w:tc>
      </w:tr>
      <w:tr>
        <w:trPr>
          <w:cantSplit/>
        </w:trPr>
        <w:tc>
          <w:tcPr>
            <w:tcW w:type="dxa" w:w="3700"/>
            <w:shd w:fill="F7FAFC"/>
            <w:tcMar>
              <w:top w:w="100" w:type="dxa"/>
              <w:start w:w="120" w:type="dxa"/>
              <w:bottom w:w="100" w:type="dxa"/>
              <w:end w:w="120" w:type="dxa"/>
            </w:tcMar>
            <w:vAlign w:val="center"/>
          </w:tcPr>
          <w:p>
            <w:pPr>
              <w:spacing w:after="0"/>
            </w:pPr>
            <w:r>
              <w:rPr>
                <w:rFonts w:ascii="Calibri" w:hAnsi="Calibri"/>
                <w:color w:val="243B53"/>
                <w:sz w:val="18"/>
              </w:rPr>
              <w:t>Deleted chunk</w:t>
            </w:r>
          </w:p>
        </w:tc>
        <w:tc>
          <w:tcPr>
            <w:tcW w:type="dxa" w:w="2250"/>
            <w:shd w:fill="F7FAFC"/>
            <w:tcMar>
              <w:top w:w="100" w:type="dxa"/>
              <w:start w:w="120" w:type="dxa"/>
              <w:bottom w:w="100" w:type="dxa"/>
              <w:end w:w="120" w:type="dxa"/>
            </w:tcMar>
            <w:vAlign w:val="center"/>
          </w:tcPr>
          <w:p>
            <w:pPr>
              <w:spacing w:after="0"/>
            </w:pPr>
            <w:r>
              <w:rPr>
                <w:rFonts w:ascii="Calibri" w:hAnsi="Calibri"/>
                <w:color w:val="243B53"/>
                <w:sz w:val="18"/>
              </w:rPr>
              <w:t>DELETED</w:t>
            </w:r>
          </w:p>
        </w:tc>
        <w:tc>
          <w:tcPr>
            <w:tcW w:type="dxa" w:w="3410"/>
            <w:shd w:fill="F7FAFC"/>
            <w:tcMar>
              <w:top w:w="100" w:type="dxa"/>
              <w:start w:w="120" w:type="dxa"/>
              <w:bottom w:w="100" w:type="dxa"/>
              <w:end w:w="120" w:type="dxa"/>
            </w:tcMar>
            <w:vAlign w:val="center"/>
          </w:tcPr>
          <w:p>
            <w:pPr>
              <w:spacing w:after="0"/>
            </w:pPr>
            <w:r>
              <w:rPr>
                <w:rFonts w:ascii="Calibri" w:hAnsi="Calibri"/>
                <w:color w:val="243B53"/>
                <w:sz w:val="18"/>
              </w:rPr>
              <w:t>Remove reference from new manifest and sync</w:t>
            </w:r>
          </w:p>
        </w:tc>
      </w:tr>
      <w:tr>
        <w:trPr>
          <w:cantSplit/>
        </w:trPr>
        <w:tc>
          <w:tcPr>
            <w:tcW w:type="dxa" w:w="3700"/>
            <w:tcMar>
              <w:top w:w="100" w:type="dxa"/>
              <w:start w:w="120" w:type="dxa"/>
              <w:bottom w:w="100" w:type="dxa"/>
              <w:end w:w="120" w:type="dxa"/>
            </w:tcMar>
            <w:vAlign w:val="center"/>
          </w:tcPr>
          <w:p>
            <w:pPr>
              <w:spacing w:after="0"/>
            </w:pPr>
            <w:r>
              <w:rPr>
                <w:rFonts w:ascii="Calibri" w:hAnsi="Calibri"/>
                <w:color w:val="243B53"/>
                <w:sz w:val="18"/>
              </w:rPr>
              <w:t>Embedding model changed</w:t>
            </w:r>
          </w:p>
        </w:tc>
        <w:tc>
          <w:tcPr>
            <w:tcW w:type="dxa" w:w="2250"/>
            <w:tcMar>
              <w:top w:w="100" w:type="dxa"/>
              <w:start w:w="120" w:type="dxa"/>
              <w:bottom w:w="100" w:type="dxa"/>
              <w:end w:w="120" w:type="dxa"/>
            </w:tcMar>
            <w:vAlign w:val="center"/>
          </w:tcPr>
          <w:p>
            <w:pPr>
              <w:spacing w:after="0"/>
            </w:pPr>
            <w:r>
              <w:rPr>
                <w:rFonts w:ascii="Calibri" w:hAnsi="Calibri"/>
                <w:color w:val="243B53"/>
                <w:sz w:val="18"/>
              </w:rPr>
              <w:t>MAJOR / EXPERIMENT</w:t>
            </w:r>
          </w:p>
        </w:tc>
        <w:tc>
          <w:tcPr>
            <w:tcW w:type="dxa" w:w="3410"/>
            <w:tcMar>
              <w:top w:w="100" w:type="dxa"/>
              <w:start w:w="120" w:type="dxa"/>
              <w:bottom w:w="100" w:type="dxa"/>
              <w:end w:w="120" w:type="dxa"/>
            </w:tcMar>
            <w:vAlign w:val="center"/>
          </w:tcPr>
          <w:p>
            <w:pPr>
              <w:spacing w:after="0"/>
            </w:pPr>
            <w:r>
              <w:rPr>
                <w:rFonts w:ascii="Calibri" w:hAnsi="Calibri"/>
                <w:color w:val="243B53"/>
                <w:sz w:val="18"/>
              </w:rPr>
              <w:t>Regenerate; do not mix spaces blindly</w:t>
            </w:r>
          </w:p>
        </w:tc>
      </w:tr>
    </w:tbl>
    <w:p>
      <w:pPr>
        <w:spacing w:after="20"/>
      </w:pPr>
    </w:p>
    <w:p>
      <w:pPr>
        <w:pStyle w:val="CodeBlock"/>
      </w:pPr>
      <w:r>
        <w:t>reusable = (chunk_hash == previous.chunk_hash)</w:t>
        <w:br/>
        <w:t xml:space="preserve">        AND (embedding_config_hash == previous.embedding_config_hash)</w:t>
        <w:br/>
        <w:t xml:space="preserve">        AND object_integrity_verified</w:t>
      </w:r>
    </w:p>
    <w:p>
      <w:pPr>
        <w:keepLines/>
        <w:spacing w:before="100" w:after="180"/>
        <w:ind w:left="202" w:right="115"/>
        <w:shd w:fill="E7F8F7"/>
        <w:pBdr>
          <w:left w:val="single" w:sz="20" w:space="8" w:color="0EA5A8"/>
        </w:pBdr>
      </w:pPr>
      <w:r>
        <w:rPr>
          <w:rFonts w:ascii="Calibri" w:hAnsi="Calibri"/>
          <w:b/>
          <w:color w:val="0EA5A8"/>
          <w:sz w:val="20"/>
        </w:rPr>
        <w:t xml:space="preserve">Content-addressable storage  </w:t>
      </w:r>
      <w:r>
        <w:rPr>
          <w:rFonts w:ascii="Calibri" w:hAnsi="Calibri"/>
          <w:color w:val="243B53"/>
          <w:sz w:val="20"/>
        </w:rPr>
        <w:t>Multiple commits can reference the same immutable embedding object. This provides deduplication without calculating textual deltas between floating-point vectors.</w:t>
      </w:r>
    </w:p>
    <w:p>
      <w:r>
        <w:br w:type="page"/>
      </w:r>
    </w:p>
    <w:p>
      <w:pPr>
        <w:pStyle w:val="Heading1"/>
      </w:pPr>
      <w:r>
        <w:t>8. What to know before coding</w:t>
      </w:r>
    </w:p>
    <w:p>
      <w:r>
        <w:rPr>
          <w:rFonts w:ascii="Calibri" w:hAnsi="Calibri"/>
          <w:i w:val="0"/>
          <w:color w:val="243B53"/>
        </w:rPr>
        <w:t>Nobody needs to be a mathematician or ML researcher. The team does need a shared baseline in the following areas.</w:t>
      </w:r>
    </w:p>
    <w:tbl>
      <w:tblPr>
        <w:tblStyle w:val="TableGrid"/>
        <w:tblW w:type="dxa" w:w="9360"/>
        <w:tblLayout w:type="fixed"/>
        <w:tblLook w:firstColumn="1" w:firstRow="1" w:lastColumn="0" w:lastRow="0" w:noHBand="0" w:noVBand="1" w:val="04A0"/>
        <w:jc w:val="left"/>
        <w:tblInd w:w="120" w:type="dxa"/>
      </w:tblPr>
      <w:tblGrid>
        <w:gridCol w:w="1700"/>
        <w:gridCol w:w="4350"/>
        <w:gridCol w:w="3310"/>
      </w:tblGrid>
      <w:tr>
        <w:trPr>
          <w:cantSplit/>
          <w:tblHeader w:val="true"/>
          <w:cantSplit/>
        </w:trPr>
        <w:tc>
          <w:tcPr>
            <w:tcW w:type="dxa" w:w="1700"/>
            <w:tcMar>
              <w:top w:w="100" w:type="dxa"/>
              <w:start w:w="120" w:type="dxa"/>
              <w:bottom w:w="100" w:type="dxa"/>
              <w:end w:w="120" w:type="dxa"/>
            </w:tcMar>
            <w:vAlign w:val="center"/>
            <w:shd w:fill="102A43"/>
          </w:tcPr>
          <w:p>
            <w:pPr>
              <w:spacing w:after="0"/>
            </w:pPr>
            <w:r>
              <w:rPr>
                <w:rFonts w:ascii="Calibri" w:hAnsi="Calibri"/>
                <w:b/>
                <w:color w:val="FFFFFF"/>
                <w:sz w:val="18"/>
              </w:rPr>
              <w:t>Area</w:t>
            </w:r>
          </w:p>
        </w:tc>
        <w:tc>
          <w:tcPr>
            <w:tcW w:type="dxa" w:w="4350"/>
            <w:tcMar>
              <w:top w:w="100" w:type="dxa"/>
              <w:start w:w="120" w:type="dxa"/>
              <w:bottom w:w="100" w:type="dxa"/>
              <w:end w:w="120" w:type="dxa"/>
            </w:tcMar>
            <w:vAlign w:val="center"/>
            <w:shd w:fill="102A43"/>
          </w:tcPr>
          <w:p>
            <w:pPr>
              <w:spacing w:after="0"/>
            </w:pPr>
            <w:r>
              <w:rPr>
                <w:rFonts w:ascii="Calibri" w:hAnsi="Calibri"/>
                <w:b/>
                <w:color w:val="FFFFFF"/>
                <w:sz w:val="18"/>
              </w:rPr>
              <w:t>Minimum working knowledge</w:t>
            </w:r>
          </w:p>
        </w:tc>
        <w:tc>
          <w:tcPr>
            <w:tcW w:type="dxa" w:w="3310"/>
            <w:tcMar>
              <w:top w:w="100" w:type="dxa"/>
              <w:start w:w="120" w:type="dxa"/>
              <w:bottom w:w="100" w:type="dxa"/>
              <w:end w:w="120" w:type="dxa"/>
            </w:tcMar>
            <w:vAlign w:val="center"/>
            <w:shd w:fill="102A43"/>
          </w:tcPr>
          <w:p>
            <w:pPr>
              <w:spacing w:after="0"/>
            </w:pPr>
            <w:r>
              <w:rPr>
                <w:rFonts w:ascii="Calibri" w:hAnsi="Calibri"/>
                <w:b/>
                <w:color w:val="FFFFFF"/>
                <w:sz w:val="18"/>
              </w:rPr>
              <w:t>Why the project needs it</w:t>
            </w:r>
          </w:p>
        </w:tc>
      </w:tr>
      <w:tr>
        <w:trPr>
          <w:cantSplit/>
        </w:trPr>
        <w:tc>
          <w:tcPr>
            <w:tcW w:type="dxa" w:w="1700"/>
            <w:tcMar>
              <w:top w:w="100" w:type="dxa"/>
              <w:start w:w="120" w:type="dxa"/>
              <w:bottom w:w="100" w:type="dxa"/>
              <w:end w:w="120" w:type="dxa"/>
            </w:tcMar>
            <w:vAlign w:val="center"/>
          </w:tcPr>
          <w:p>
            <w:pPr>
              <w:spacing w:after="0"/>
            </w:pPr>
            <w:r>
              <w:rPr>
                <w:rFonts w:ascii="Calibri" w:hAnsi="Calibri"/>
                <w:color w:val="243B53"/>
                <w:sz w:val="18"/>
              </w:rPr>
              <w:t>Python</w:t>
            </w:r>
          </w:p>
        </w:tc>
        <w:tc>
          <w:tcPr>
            <w:tcW w:type="dxa" w:w="4350"/>
            <w:tcMar>
              <w:top w:w="100" w:type="dxa"/>
              <w:start w:w="120" w:type="dxa"/>
              <w:bottom w:w="100" w:type="dxa"/>
              <w:end w:w="120" w:type="dxa"/>
            </w:tcMar>
            <w:vAlign w:val="center"/>
          </w:tcPr>
          <w:p>
            <w:pPr>
              <w:spacing w:after="0"/>
            </w:pPr>
            <w:r>
              <w:rPr>
                <w:rFonts w:ascii="Calibri" w:hAnsi="Calibri"/>
                <w:color w:val="243B53"/>
                <w:sz w:val="18"/>
              </w:rPr>
              <w:t>Functions, classes, packages, type hints, file I/O, virtual environments</w:t>
            </w:r>
          </w:p>
        </w:tc>
        <w:tc>
          <w:tcPr>
            <w:tcW w:type="dxa" w:w="3310"/>
            <w:tcMar>
              <w:top w:w="100" w:type="dxa"/>
              <w:start w:w="120" w:type="dxa"/>
              <w:bottom w:w="100" w:type="dxa"/>
              <w:end w:w="120" w:type="dxa"/>
            </w:tcMar>
            <w:vAlign w:val="center"/>
          </w:tcPr>
          <w:p>
            <w:pPr>
              <w:spacing w:after="0"/>
            </w:pPr>
            <w:r>
              <w:rPr>
                <w:rFonts w:ascii="Calibri" w:hAnsi="Calibri"/>
                <w:color w:val="243B53"/>
                <w:sz w:val="18"/>
              </w:rPr>
              <w:t>The CLI, pipeline, storage, and tests are Python.</w:t>
            </w:r>
          </w:p>
        </w:tc>
      </w:tr>
      <w:tr>
        <w:trPr>
          <w:cantSplit/>
        </w:trPr>
        <w:tc>
          <w:tcPr>
            <w:tcW w:type="dxa" w:w="1700"/>
            <w:shd w:fill="F7FAFC"/>
            <w:tcMar>
              <w:top w:w="100" w:type="dxa"/>
              <w:start w:w="120" w:type="dxa"/>
              <w:bottom w:w="100" w:type="dxa"/>
              <w:end w:w="120" w:type="dxa"/>
            </w:tcMar>
            <w:vAlign w:val="center"/>
          </w:tcPr>
          <w:p>
            <w:pPr>
              <w:spacing w:after="0"/>
            </w:pPr>
            <w:r>
              <w:rPr>
                <w:rFonts w:ascii="Calibri" w:hAnsi="Calibri"/>
                <w:color w:val="243B53"/>
                <w:sz w:val="18"/>
              </w:rPr>
              <w:t>Git</w:t>
            </w:r>
          </w:p>
        </w:tc>
        <w:tc>
          <w:tcPr>
            <w:tcW w:type="dxa" w:w="4350"/>
            <w:shd w:fill="F7FAFC"/>
            <w:tcMar>
              <w:top w:w="100" w:type="dxa"/>
              <w:start w:w="120" w:type="dxa"/>
              <w:bottom w:w="100" w:type="dxa"/>
              <w:end w:w="120" w:type="dxa"/>
            </w:tcMar>
            <w:vAlign w:val="center"/>
          </w:tcPr>
          <w:p>
            <w:pPr>
              <w:spacing w:after="0"/>
            </w:pPr>
            <w:r>
              <w:rPr>
                <w:rFonts w:ascii="Calibri" w:hAnsi="Calibri"/>
                <w:color w:val="243B53"/>
                <w:sz w:val="18"/>
              </w:rPr>
              <w:t>Repository, commit, branch, checkout, hash, immutable history</w:t>
            </w:r>
          </w:p>
        </w:tc>
        <w:tc>
          <w:tcPr>
            <w:tcW w:type="dxa" w:w="3310"/>
            <w:shd w:fill="F7FAFC"/>
            <w:tcMar>
              <w:top w:w="100" w:type="dxa"/>
              <w:start w:w="120" w:type="dxa"/>
              <w:bottom w:w="100" w:type="dxa"/>
              <w:end w:w="120" w:type="dxa"/>
            </w:tcMar>
            <w:vAlign w:val="center"/>
          </w:tcPr>
          <w:p>
            <w:pPr>
              <w:spacing w:after="0"/>
            </w:pPr>
            <w:r>
              <w:rPr>
                <w:rFonts w:ascii="Calibri" w:hAnsi="Calibri"/>
                <w:color w:val="243B53"/>
                <w:sz w:val="18"/>
              </w:rPr>
              <w:t>EmbedGit adapts these ideas but is not Git.</w:t>
            </w:r>
          </w:p>
        </w:tc>
      </w:tr>
      <w:tr>
        <w:trPr>
          <w:cantSplit/>
        </w:trPr>
        <w:tc>
          <w:tcPr>
            <w:tcW w:type="dxa" w:w="1700"/>
            <w:tcMar>
              <w:top w:w="100" w:type="dxa"/>
              <w:start w:w="120" w:type="dxa"/>
              <w:bottom w:w="100" w:type="dxa"/>
              <w:end w:w="120" w:type="dxa"/>
            </w:tcMar>
            <w:vAlign w:val="center"/>
          </w:tcPr>
          <w:p>
            <w:pPr>
              <w:spacing w:after="0"/>
            </w:pPr>
            <w:r>
              <w:rPr>
                <w:rFonts w:ascii="Calibri" w:hAnsi="Calibri"/>
                <w:color w:val="243B53"/>
                <w:sz w:val="18"/>
              </w:rPr>
              <w:t>Basic linear algebra</w:t>
            </w:r>
          </w:p>
        </w:tc>
        <w:tc>
          <w:tcPr>
            <w:tcW w:type="dxa" w:w="4350"/>
            <w:tcMar>
              <w:top w:w="100" w:type="dxa"/>
              <w:start w:w="120" w:type="dxa"/>
              <w:bottom w:w="100" w:type="dxa"/>
              <w:end w:w="120" w:type="dxa"/>
            </w:tcMar>
            <w:vAlign w:val="center"/>
          </w:tcPr>
          <w:p>
            <w:pPr>
              <w:spacing w:after="0"/>
            </w:pPr>
            <w:r>
              <w:rPr>
                <w:rFonts w:ascii="Calibri" w:hAnsi="Calibri"/>
                <w:color w:val="243B53"/>
                <w:sz w:val="18"/>
              </w:rPr>
              <w:t>Vectors, dimensions, distance, dot product, normalization</w:t>
            </w:r>
          </w:p>
        </w:tc>
        <w:tc>
          <w:tcPr>
            <w:tcW w:type="dxa" w:w="3310"/>
            <w:tcMar>
              <w:top w:w="100" w:type="dxa"/>
              <w:start w:w="120" w:type="dxa"/>
              <w:bottom w:w="100" w:type="dxa"/>
              <w:end w:w="120" w:type="dxa"/>
            </w:tcMar>
            <w:vAlign w:val="center"/>
          </w:tcPr>
          <w:p>
            <w:pPr>
              <w:spacing w:after="0"/>
            </w:pPr>
            <w:r>
              <w:rPr>
                <w:rFonts w:ascii="Calibri" w:hAnsi="Calibri"/>
                <w:color w:val="243B53"/>
                <w:sz w:val="18"/>
              </w:rPr>
              <w:t>Needed to reason about similarity and compatibility.</w:t>
            </w:r>
          </w:p>
        </w:tc>
      </w:tr>
      <w:tr>
        <w:trPr>
          <w:cantSplit/>
        </w:trPr>
        <w:tc>
          <w:tcPr>
            <w:tcW w:type="dxa" w:w="1700"/>
            <w:shd w:fill="F7FAFC"/>
            <w:tcMar>
              <w:top w:w="100" w:type="dxa"/>
              <w:start w:w="120" w:type="dxa"/>
              <w:bottom w:w="100" w:type="dxa"/>
              <w:end w:w="120" w:type="dxa"/>
            </w:tcMar>
            <w:vAlign w:val="center"/>
          </w:tcPr>
          <w:p>
            <w:pPr>
              <w:spacing w:after="0"/>
            </w:pPr>
            <w:r>
              <w:rPr>
                <w:rFonts w:ascii="Calibri" w:hAnsi="Calibri"/>
                <w:color w:val="243B53"/>
                <w:sz w:val="18"/>
              </w:rPr>
              <w:t>Document pipelines</w:t>
            </w:r>
          </w:p>
        </w:tc>
        <w:tc>
          <w:tcPr>
            <w:tcW w:type="dxa" w:w="4350"/>
            <w:shd w:fill="F7FAFC"/>
            <w:tcMar>
              <w:top w:w="100" w:type="dxa"/>
              <w:start w:w="120" w:type="dxa"/>
              <w:bottom w:w="100" w:type="dxa"/>
              <w:end w:w="120" w:type="dxa"/>
            </w:tcMar>
            <w:vAlign w:val="center"/>
          </w:tcPr>
          <w:p>
            <w:pPr>
              <w:spacing w:after="0"/>
            </w:pPr>
            <w:r>
              <w:rPr>
                <w:rFonts w:ascii="Calibri" w:hAnsi="Calibri"/>
                <w:color w:val="243B53"/>
                <w:sz w:val="18"/>
              </w:rPr>
              <w:t>Loading, parsing, normalization, chunking, metadata</w:t>
            </w:r>
          </w:p>
        </w:tc>
        <w:tc>
          <w:tcPr>
            <w:tcW w:type="dxa" w:w="3310"/>
            <w:shd w:fill="F7FAFC"/>
            <w:tcMar>
              <w:top w:w="100" w:type="dxa"/>
              <w:start w:w="120" w:type="dxa"/>
              <w:bottom w:w="100" w:type="dxa"/>
              <w:end w:w="120" w:type="dxa"/>
            </w:tcMar>
            <w:vAlign w:val="center"/>
          </w:tcPr>
          <w:p>
            <w:pPr>
              <w:spacing w:after="0"/>
            </w:pPr>
            <w:r>
              <w:rPr>
                <w:rFonts w:ascii="Calibri" w:hAnsi="Calibri"/>
                <w:color w:val="243B53"/>
                <w:sz w:val="18"/>
              </w:rPr>
              <w:t>These steps determine chunk identity and reuse.</w:t>
            </w:r>
          </w:p>
        </w:tc>
      </w:tr>
      <w:tr>
        <w:trPr>
          <w:cantSplit/>
        </w:trPr>
        <w:tc>
          <w:tcPr>
            <w:tcW w:type="dxa" w:w="1700"/>
            <w:tcMar>
              <w:top w:w="100" w:type="dxa"/>
              <w:start w:w="120" w:type="dxa"/>
              <w:bottom w:w="100" w:type="dxa"/>
              <w:end w:w="120" w:type="dxa"/>
            </w:tcMar>
            <w:vAlign w:val="center"/>
          </w:tcPr>
          <w:p>
            <w:pPr>
              <w:spacing w:after="0"/>
            </w:pPr>
            <w:r>
              <w:rPr>
                <w:rFonts w:ascii="Calibri" w:hAnsi="Calibri"/>
                <w:color w:val="243B53"/>
                <w:sz w:val="18"/>
              </w:rPr>
              <w:t>Hashing</w:t>
            </w:r>
          </w:p>
        </w:tc>
        <w:tc>
          <w:tcPr>
            <w:tcW w:type="dxa" w:w="4350"/>
            <w:tcMar>
              <w:top w:w="100" w:type="dxa"/>
              <w:start w:w="120" w:type="dxa"/>
              <w:bottom w:w="100" w:type="dxa"/>
              <w:end w:w="120" w:type="dxa"/>
            </w:tcMar>
            <w:vAlign w:val="center"/>
          </w:tcPr>
          <w:p>
            <w:pPr>
              <w:spacing w:after="0"/>
            </w:pPr>
            <w:r>
              <w:rPr>
                <w:rFonts w:ascii="Calibri" w:hAnsi="Calibri"/>
                <w:color w:val="243B53"/>
                <w:sz w:val="18"/>
              </w:rPr>
              <w:t>SHA-256 fingerprints, deterministic serialization, collision awareness</w:t>
            </w:r>
          </w:p>
        </w:tc>
        <w:tc>
          <w:tcPr>
            <w:tcW w:type="dxa" w:w="3310"/>
            <w:tcMar>
              <w:top w:w="100" w:type="dxa"/>
              <w:start w:w="120" w:type="dxa"/>
              <w:bottom w:w="100" w:type="dxa"/>
              <w:end w:w="120" w:type="dxa"/>
            </w:tcMar>
            <w:vAlign w:val="center"/>
          </w:tcPr>
          <w:p>
            <w:pPr>
              <w:spacing w:after="0"/>
            </w:pPr>
            <w:r>
              <w:rPr>
                <w:rFonts w:ascii="Calibri" w:hAnsi="Calibri"/>
                <w:color w:val="243B53"/>
                <w:sz w:val="18"/>
              </w:rPr>
              <w:t>Hashes identify content, configuration, and objects.</w:t>
            </w:r>
          </w:p>
        </w:tc>
      </w:tr>
      <w:tr>
        <w:trPr>
          <w:cantSplit/>
        </w:trPr>
        <w:tc>
          <w:tcPr>
            <w:tcW w:type="dxa" w:w="1700"/>
            <w:shd w:fill="F7FAFC"/>
            <w:tcMar>
              <w:top w:w="100" w:type="dxa"/>
              <w:start w:w="120" w:type="dxa"/>
              <w:bottom w:w="100" w:type="dxa"/>
              <w:end w:w="120" w:type="dxa"/>
            </w:tcMar>
            <w:vAlign w:val="center"/>
          </w:tcPr>
          <w:p>
            <w:pPr>
              <w:spacing w:after="0"/>
            </w:pPr>
            <w:r>
              <w:rPr>
                <w:rFonts w:ascii="Calibri" w:hAnsi="Calibri"/>
                <w:color w:val="243B53"/>
                <w:sz w:val="18"/>
              </w:rPr>
              <w:t>ML inference</w:t>
            </w:r>
          </w:p>
        </w:tc>
        <w:tc>
          <w:tcPr>
            <w:tcW w:type="dxa" w:w="4350"/>
            <w:shd w:fill="F7FAFC"/>
            <w:tcMar>
              <w:top w:w="100" w:type="dxa"/>
              <w:start w:w="120" w:type="dxa"/>
              <w:bottom w:w="100" w:type="dxa"/>
              <w:end w:w="120" w:type="dxa"/>
            </w:tcMar>
            <w:vAlign w:val="center"/>
          </w:tcPr>
          <w:p>
            <w:pPr>
              <w:spacing w:after="0"/>
            </w:pPr>
            <w:r>
              <w:rPr>
                <w:rFonts w:ascii="Calibri" w:hAnsi="Calibri"/>
                <w:color w:val="243B53"/>
                <w:sz w:val="18"/>
              </w:rPr>
              <w:t>Model vs. training, tokenizer, batch, CPU/GPU, revision pinning</w:t>
            </w:r>
          </w:p>
        </w:tc>
        <w:tc>
          <w:tcPr>
            <w:tcW w:type="dxa" w:w="3310"/>
            <w:shd w:fill="F7FAFC"/>
            <w:tcMar>
              <w:top w:w="100" w:type="dxa"/>
              <w:start w:w="120" w:type="dxa"/>
              <w:bottom w:w="100" w:type="dxa"/>
              <w:end w:w="120" w:type="dxa"/>
            </w:tcMar>
            <w:vAlign w:val="center"/>
          </w:tcPr>
          <w:p>
            <w:pPr>
              <w:spacing w:after="0"/>
            </w:pPr>
            <w:r>
              <w:rPr>
                <w:rFonts w:ascii="Calibri" w:hAnsi="Calibri"/>
                <w:color w:val="243B53"/>
                <w:sz w:val="18"/>
              </w:rPr>
              <w:t>The MVP runs an existing model; it does not train one.</w:t>
            </w:r>
          </w:p>
        </w:tc>
      </w:tr>
      <w:tr>
        <w:trPr>
          <w:cantSplit/>
        </w:trPr>
        <w:tc>
          <w:tcPr>
            <w:tcW w:type="dxa" w:w="1700"/>
            <w:tcMar>
              <w:top w:w="100" w:type="dxa"/>
              <w:start w:w="120" w:type="dxa"/>
              <w:bottom w:w="100" w:type="dxa"/>
              <w:end w:w="120" w:type="dxa"/>
            </w:tcMar>
            <w:vAlign w:val="center"/>
          </w:tcPr>
          <w:p>
            <w:pPr>
              <w:spacing w:after="0"/>
            </w:pPr>
            <w:r>
              <w:rPr>
                <w:rFonts w:ascii="Calibri" w:hAnsi="Calibri"/>
                <w:color w:val="243B53"/>
                <w:sz w:val="18"/>
              </w:rPr>
              <w:t>Vector search</w:t>
            </w:r>
          </w:p>
        </w:tc>
        <w:tc>
          <w:tcPr>
            <w:tcW w:type="dxa" w:w="4350"/>
            <w:tcMar>
              <w:top w:w="100" w:type="dxa"/>
              <w:start w:w="120" w:type="dxa"/>
              <w:bottom w:w="100" w:type="dxa"/>
              <w:end w:w="120" w:type="dxa"/>
            </w:tcMar>
            <w:vAlign w:val="center"/>
          </w:tcPr>
          <w:p>
            <w:pPr>
              <w:spacing w:after="0"/>
            </w:pPr>
            <w:r>
              <w:rPr>
                <w:rFonts w:ascii="Calibri" w:hAnsi="Calibri"/>
                <w:color w:val="243B53"/>
                <w:sz w:val="18"/>
              </w:rPr>
              <w:t>top-k, similarity metric, metadata filtering, index</w:t>
            </w:r>
          </w:p>
        </w:tc>
        <w:tc>
          <w:tcPr>
            <w:tcW w:type="dxa" w:w="3310"/>
            <w:tcMar>
              <w:top w:w="100" w:type="dxa"/>
              <w:start w:w="120" w:type="dxa"/>
              <w:bottom w:w="100" w:type="dxa"/>
              <w:end w:w="120" w:type="dxa"/>
            </w:tcMar>
            <w:vAlign w:val="center"/>
          </w:tcPr>
          <w:p>
            <w:pPr>
              <w:spacing w:after="0"/>
            </w:pPr>
            <w:r>
              <w:rPr>
                <w:rFonts w:ascii="Calibri" w:hAnsi="Calibri"/>
                <w:color w:val="243B53"/>
                <w:sz w:val="18"/>
              </w:rPr>
              <w:t>Required for ChromaDB sync and evaluation.</w:t>
            </w:r>
          </w:p>
        </w:tc>
      </w:tr>
      <w:tr>
        <w:trPr>
          <w:cantSplit/>
        </w:trPr>
        <w:tc>
          <w:tcPr>
            <w:tcW w:type="dxa" w:w="1700"/>
            <w:shd w:fill="F7FAFC"/>
            <w:tcMar>
              <w:top w:w="100" w:type="dxa"/>
              <w:start w:w="120" w:type="dxa"/>
              <w:bottom w:w="100" w:type="dxa"/>
              <w:end w:w="120" w:type="dxa"/>
            </w:tcMar>
            <w:vAlign w:val="center"/>
          </w:tcPr>
          <w:p>
            <w:pPr>
              <w:spacing w:after="0"/>
            </w:pPr>
            <w:r>
              <w:rPr>
                <w:rFonts w:ascii="Calibri" w:hAnsi="Calibri"/>
                <w:color w:val="243B53"/>
                <w:sz w:val="18"/>
              </w:rPr>
              <w:t>Testing</w:t>
            </w:r>
          </w:p>
        </w:tc>
        <w:tc>
          <w:tcPr>
            <w:tcW w:type="dxa" w:w="4350"/>
            <w:shd w:fill="F7FAFC"/>
            <w:tcMar>
              <w:top w:w="100" w:type="dxa"/>
              <w:start w:w="120" w:type="dxa"/>
              <w:bottom w:w="100" w:type="dxa"/>
              <w:end w:w="120" w:type="dxa"/>
            </w:tcMar>
            <w:vAlign w:val="center"/>
          </w:tcPr>
          <w:p>
            <w:pPr>
              <w:spacing w:after="0"/>
            </w:pPr>
            <w:r>
              <w:rPr>
                <w:rFonts w:ascii="Calibri" w:hAnsi="Calibri"/>
                <w:color w:val="243B53"/>
                <w:sz w:val="18"/>
              </w:rPr>
              <w:t>Unit, integration, fixtures, edge cases, deterministic tests</w:t>
            </w:r>
          </w:p>
        </w:tc>
        <w:tc>
          <w:tcPr>
            <w:tcW w:type="dxa" w:w="3310"/>
            <w:shd w:fill="F7FAFC"/>
            <w:tcMar>
              <w:top w:w="100" w:type="dxa"/>
              <w:start w:w="120" w:type="dxa"/>
              <w:bottom w:w="100" w:type="dxa"/>
              <w:end w:w="120" w:type="dxa"/>
            </w:tcMar>
            <w:vAlign w:val="center"/>
          </w:tcPr>
          <w:p>
            <w:pPr>
              <w:spacing w:after="0"/>
            </w:pPr>
            <w:r>
              <w:rPr>
                <w:rFonts w:ascii="Calibri" w:hAnsi="Calibri"/>
                <w:color w:val="243B53"/>
                <w:sz w:val="18"/>
              </w:rPr>
              <w:t>Restore and reuse errors can silently corrupt results.</w:t>
            </w:r>
          </w:p>
        </w:tc>
      </w:tr>
      <w:tr>
        <w:trPr>
          <w:cantSplit/>
        </w:trPr>
        <w:tc>
          <w:tcPr>
            <w:tcW w:type="dxa" w:w="1700"/>
            <w:tcMar>
              <w:top w:w="100" w:type="dxa"/>
              <w:start w:w="120" w:type="dxa"/>
              <w:bottom w:w="100" w:type="dxa"/>
              <w:end w:w="120" w:type="dxa"/>
            </w:tcMar>
            <w:vAlign w:val="center"/>
          </w:tcPr>
          <w:p>
            <w:pPr>
              <w:spacing w:after="0"/>
            </w:pPr>
            <w:r>
              <w:rPr>
                <w:rFonts w:ascii="Calibri" w:hAnsi="Calibri"/>
                <w:color w:val="243B53"/>
                <w:sz w:val="18"/>
              </w:rPr>
              <w:t>Reproducibility</w:t>
            </w:r>
          </w:p>
        </w:tc>
        <w:tc>
          <w:tcPr>
            <w:tcW w:type="dxa" w:w="4350"/>
            <w:tcMar>
              <w:top w:w="100" w:type="dxa"/>
              <w:start w:w="120" w:type="dxa"/>
              <w:bottom w:w="100" w:type="dxa"/>
              <w:end w:w="120" w:type="dxa"/>
            </w:tcMar>
            <w:vAlign w:val="center"/>
          </w:tcPr>
          <w:p>
            <w:pPr>
              <w:spacing w:after="0"/>
            </w:pPr>
            <w:r>
              <w:rPr>
                <w:rFonts w:ascii="Calibri" w:hAnsi="Calibri"/>
                <w:color w:val="243B53"/>
                <w:sz w:val="18"/>
              </w:rPr>
              <w:t>Pinned versions, seeds, environment capture, manifests</w:t>
            </w:r>
          </w:p>
        </w:tc>
        <w:tc>
          <w:tcPr>
            <w:tcW w:type="dxa" w:w="3310"/>
            <w:tcMar>
              <w:top w:w="100" w:type="dxa"/>
              <w:start w:w="120" w:type="dxa"/>
              <w:bottom w:w="100" w:type="dxa"/>
              <w:end w:w="120" w:type="dxa"/>
            </w:tcMar>
            <w:vAlign w:val="center"/>
          </w:tcPr>
          <w:p>
            <w:pPr>
              <w:spacing w:after="0"/>
            </w:pPr>
            <w:r>
              <w:rPr>
                <w:rFonts w:ascii="Calibri" w:hAnsi="Calibri"/>
                <w:color w:val="243B53"/>
                <w:sz w:val="18"/>
              </w:rPr>
              <w:t>A commit should explain how its vectors were produced.</w:t>
            </w:r>
          </w:p>
        </w:tc>
      </w:tr>
    </w:tbl>
    <w:p>
      <w:pPr>
        <w:spacing w:after="20"/>
      </w:pPr>
    </w:p>
    <w:p>
      <w:pPr>
        <w:pStyle w:val="Heading2"/>
      </w:pPr>
      <w:r>
        <w:t>Tools to become comfortable with</w:t>
      </w:r>
    </w:p>
    <w:p>
      <w:pPr>
        <w:pStyle w:val="ListBullet"/>
      </w:pPr>
      <w:r>
        <w:rPr>
          <w:rFonts w:ascii="Calibri" w:hAnsi="Calibri"/>
          <w:color w:val="243B53"/>
        </w:rPr>
        <w:t>Python 3.11+, virtual environments, pip, and pyproject.toml</w:t>
      </w:r>
    </w:p>
    <w:p>
      <w:pPr>
        <w:pStyle w:val="ListBullet"/>
      </w:pPr>
      <w:r>
        <w:rPr>
          <w:rFonts w:ascii="Calibri" w:hAnsi="Calibri"/>
          <w:color w:val="243B53"/>
        </w:rPr>
        <w:t>Typer or Click for the command-line interface</w:t>
      </w:r>
    </w:p>
    <w:p>
      <w:pPr>
        <w:pStyle w:val="ListBullet"/>
      </w:pPr>
      <w:r>
        <w:rPr>
          <w:rFonts w:ascii="Calibri" w:hAnsi="Calibri"/>
          <w:color w:val="243B53"/>
        </w:rPr>
        <w:t>Sentence Transformers for embedding inference</w:t>
      </w:r>
    </w:p>
    <w:p>
      <w:pPr>
        <w:pStyle w:val="ListBullet"/>
      </w:pPr>
      <w:r>
        <w:rPr>
          <w:rFonts w:ascii="Calibri" w:hAnsi="Calibri"/>
          <w:color w:val="243B53"/>
        </w:rPr>
        <w:t>ChromaDB for persistent vector storage and search</w:t>
      </w:r>
    </w:p>
    <w:p>
      <w:pPr>
        <w:pStyle w:val="ListBullet"/>
      </w:pPr>
      <w:r>
        <w:rPr>
          <w:rFonts w:ascii="Calibri" w:hAnsi="Calibri"/>
          <w:color w:val="243B53"/>
        </w:rPr>
        <w:t>PyMuPDF for PDF extraction</w:t>
      </w:r>
    </w:p>
    <w:p>
      <w:pPr>
        <w:pStyle w:val="ListBullet"/>
      </w:pPr>
      <w:r>
        <w:rPr>
          <w:rFonts w:ascii="Calibri" w:hAnsi="Calibri"/>
          <w:color w:val="243B53"/>
        </w:rPr>
        <w:t>Pydantic for validated schemas</w:t>
      </w:r>
    </w:p>
    <w:p>
      <w:pPr>
        <w:pStyle w:val="ListBullet"/>
      </w:pPr>
      <w:r>
        <w:rPr>
          <w:rFonts w:ascii="Calibri" w:hAnsi="Calibri"/>
          <w:color w:val="243B53"/>
        </w:rPr>
        <w:t>JSON and YAML for manifests and configuration</w:t>
      </w:r>
    </w:p>
    <w:p>
      <w:pPr>
        <w:pStyle w:val="ListBullet"/>
      </w:pPr>
      <w:r>
        <w:rPr>
          <w:rFonts w:ascii="Calibri" w:hAnsi="Calibri"/>
          <w:color w:val="243B53"/>
        </w:rPr>
        <w:t>Pytest for automated tests</w:t>
      </w:r>
    </w:p>
    <w:p>
      <w:pPr>
        <w:keepLines/>
        <w:spacing w:before="100" w:after="180"/>
        <w:ind w:left="202" w:right="115"/>
        <w:shd w:fill="FFF4E5"/>
        <w:pBdr>
          <w:left w:val="single" w:sz="20" w:space="8" w:color="D97706"/>
        </w:pBdr>
      </w:pPr>
      <w:r>
        <w:rPr>
          <w:rFonts w:ascii="Calibri" w:hAnsi="Calibri"/>
          <w:b/>
          <w:color w:val="D97706"/>
          <w:sz w:val="20"/>
        </w:rPr>
        <w:t xml:space="preserve">Team rule  </w:t>
      </w:r>
      <w:r>
        <w:rPr>
          <w:rFonts w:ascii="Calibri" w:hAnsi="Calibri"/>
          <w:color w:val="243B53"/>
          <w:sz w:val="20"/>
        </w:rPr>
        <w:t>Pin the embedding model revision and dependency versions before generating benchmark data. Model name alone is not enough for reproducibility.</w:t>
      </w:r>
    </w:p>
    <w:p>
      <w:r>
        <w:br w:type="page"/>
      </w:r>
    </w:p>
    <w:p>
      <w:pPr>
        <w:pStyle w:val="Heading1"/>
      </w:pPr>
      <w:r>
        <w:t>9. Common misconceptions and failure modes</w:t>
      </w:r>
    </w:p>
    <w:tbl>
      <w:tblPr>
        <w:tblStyle w:val="TableGrid"/>
        <w:tblW w:type="dxa" w:w="9360"/>
        <w:tblLayout w:type="fixed"/>
        <w:tblLook w:firstColumn="1" w:firstRow="1" w:lastColumn="0" w:lastRow="0" w:noHBand="0" w:noVBand="1" w:val="04A0"/>
        <w:jc w:val="left"/>
        <w:tblInd w:w="120" w:type="dxa"/>
      </w:tblPr>
      <w:tblGrid>
        <w:gridCol w:w="3850"/>
        <w:gridCol w:w="5510"/>
      </w:tblGrid>
      <w:tr>
        <w:trPr>
          <w:cantSplit/>
          <w:tblHeader w:val="true"/>
          <w:cantSplit/>
        </w:trPr>
        <w:tc>
          <w:tcPr>
            <w:tcW w:type="dxa" w:w="3850"/>
            <w:tcMar>
              <w:top w:w="100" w:type="dxa"/>
              <w:start w:w="120" w:type="dxa"/>
              <w:bottom w:w="100" w:type="dxa"/>
              <w:end w:w="120" w:type="dxa"/>
            </w:tcMar>
            <w:vAlign w:val="center"/>
            <w:shd w:fill="102A43"/>
          </w:tcPr>
          <w:p>
            <w:pPr>
              <w:spacing w:after="0"/>
            </w:pPr>
            <w:r>
              <w:rPr>
                <w:rFonts w:ascii="Calibri" w:hAnsi="Calibri"/>
                <w:b/>
                <w:color w:val="FFFFFF"/>
                <w:sz w:val="18"/>
              </w:rPr>
              <w:t>Misconception</w:t>
            </w:r>
          </w:p>
        </w:tc>
        <w:tc>
          <w:tcPr>
            <w:tcW w:type="dxa" w:w="5510"/>
            <w:tcMar>
              <w:top w:w="100" w:type="dxa"/>
              <w:start w:w="120" w:type="dxa"/>
              <w:bottom w:w="100" w:type="dxa"/>
              <w:end w:w="120" w:type="dxa"/>
            </w:tcMar>
            <w:vAlign w:val="center"/>
            <w:shd w:fill="102A43"/>
          </w:tcPr>
          <w:p>
            <w:pPr>
              <w:spacing w:after="0"/>
            </w:pPr>
            <w:r>
              <w:rPr>
                <w:rFonts w:ascii="Calibri" w:hAnsi="Calibri"/>
                <w:b/>
                <w:color w:val="FFFFFF"/>
                <w:sz w:val="18"/>
              </w:rPr>
              <w:t>Correct understanding</w:t>
            </w:r>
          </w:p>
        </w:tc>
      </w:tr>
      <w:tr>
        <w:trPr>
          <w:cantSplit/>
        </w:trPr>
        <w:tc>
          <w:tcPr>
            <w:tcW w:type="dxa" w:w="3850"/>
            <w:tcMar>
              <w:top w:w="100" w:type="dxa"/>
              <w:start w:w="120" w:type="dxa"/>
              <w:bottom w:w="100" w:type="dxa"/>
              <w:end w:w="120" w:type="dxa"/>
            </w:tcMar>
            <w:vAlign w:val="center"/>
          </w:tcPr>
          <w:p>
            <w:pPr>
              <w:spacing w:after="0"/>
            </w:pPr>
            <w:r>
              <w:rPr>
                <w:rFonts w:ascii="Calibri" w:hAnsi="Calibri"/>
                <w:color w:val="243B53"/>
                <w:sz w:val="18"/>
              </w:rPr>
              <w:t>Each vector dimension has an obvious meaning.</w:t>
            </w:r>
          </w:p>
        </w:tc>
        <w:tc>
          <w:tcPr>
            <w:tcW w:type="dxa" w:w="5510"/>
            <w:tcMar>
              <w:top w:w="100" w:type="dxa"/>
              <w:start w:w="120" w:type="dxa"/>
              <w:bottom w:w="100" w:type="dxa"/>
              <w:end w:w="120" w:type="dxa"/>
            </w:tcMar>
            <w:vAlign w:val="center"/>
          </w:tcPr>
          <w:p>
            <w:pPr>
              <w:spacing w:after="0"/>
            </w:pPr>
            <w:r>
              <w:rPr>
                <w:rFonts w:ascii="Calibri" w:hAnsi="Calibri"/>
                <w:color w:val="243B53"/>
                <w:sz w:val="18"/>
              </w:rPr>
              <w:t>Dimensions are learned and usually interpreted only together.</w:t>
            </w:r>
          </w:p>
        </w:tc>
      </w:tr>
      <w:tr>
        <w:trPr>
          <w:cantSplit/>
        </w:trPr>
        <w:tc>
          <w:tcPr>
            <w:tcW w:type="dxa" w:w="3850"/>
            <w:shd w:fill="F7FAFC"/>
            <w:tcMar>
              <w:top w:w="100" w:type="dxa"/>
              <w:start w:w="120" w:type="dxa"/>
              <w:bottom w:w="100" w:type="dxa"/>
              <w:end w:w="120" w:type="dxa"/>
            </w:tcMar>
            <w:vAlign w:val="center"/>
          </w:tcPr>
          <w:p>
            <w:pPr>
              <w:spacing w:after="0"/>
            </w:pPr>
            <w:r>
              <w:rPr>
                <w:rFonts w:ascii="Calibri" w:hAnsi="Calibri"/>
                <w:color w:val="243B53"/>
                <w:sz w:val="18"/>
              </w:rPr>
              <w:t>Same dimension means compatible models.</w:t>
            </w:r>
          </w:p>
        </w:tc>
        <w:tc>
          <w:tcPr>
            <w:tcW w:type="dxa" w:w="5510"/>
            <w:shd w:fill="F7FAFC"/>
            <w:tcMar>
              <w:top w:w="100" w:type="dxa"/>
              <w:start w:w="120" w:type="dxa"/>
              <w:bottom w:w="100" w:type="dxa"/>
              <w:end w:w="120" w:type="dxa"/>
            </w:tcMar>
            <w:vAlign w:val="center"/>
          </w:tcPr>
          <w:p>
            <w:pPr>
              <w:spacing w:after="0"/>
            </w:pPr>
            <w:r>
              <w:rPr>
                <w:rFonts w:ascii="Calibri" w:hAnsi="Calibri"/>
                <w:color w:val="243B53"/>
                <w:sz w:val="18"/>
              </w:rPr>
              <w:t>Two spaces can have equal size but different geometry and semantics.</w:t>
            </w:r>
          </w:p>
        </w:tc>
      </w:tr>
      <w:tr>
        <w:trPr>
          <w:cantSplit/>
        </w:trPr>
        <w:tc>
          <w:tcPr>
            <w:tcW w:type="dxa" w:w="3850"/>
            <w:tcMar>
              <w:top w:w="100" w:type="dxa"/>
              <w:start w:w="120" w:type="dxa"/>
              <w:bottom w:w="100" w:type="dxa"/>
              <w:end w:w="120" w:type="dxa"/>
            </w:tcMar>
            <w:vAlign w:val="center"/>
          </w:tcPr>
          <w:p>
            <w:pPr>
              <w:spacing w:after="0"/>
            </w:pPr>
            <w:r>
              <w:rPr>
                <w:rFonts w:ascii="Calibri" w:hAnsi="Calibri"/>
                <w:color w:val="243B53"/>
                <w:sz w:val="18"/>
              </w:rPr>
              <w:t>A high cosine score proves the answer is correct.</w:t>
            </w:r>
          </w:p>
        </w:tc>
        <w:tc>
          <w:tcPr>
            <w:tcW w:type="dxa" w:w="5510"/>
            <w:tcMar>
              <w:top w:w="100" w:type="dxa"/>
              <w:start w:w="120" w:type="dxa"/>
              <w:bottom w:w="100" w:type="dxa"/>
              <w:end w:w="120" w:type="dxa"/>
            </w:tcMar>
            <w:vAlign w:val="center"/>
          </w:tcPr>
          <w:p>
            <w:pPr>
              <w:spacing w:after="0"/>
            </w:pPr>
            <w:r>
              <w:rPr>
                <w:rFonts w:ascii="Calibri" w:hAnsi="Calibri"/>
                <w:color w:val="243B53"/>
                <w:sz w:val="18"/>
              </w:rPr>
              <w:t>Similarity is a retrieval signal, not factual verification.</w:t>
            </w:r>
          </w:p>
        </w:tc>
      </w:tr>
      <w:tr>
        <w:trPr>
          <w:cantSplit/>
        </w:trPr>
        <w:tc>
          <w:tcPr>
            <w:tcW w:type="dxa" w:w="3850"/>
            <w:shd w:fill="F7FAFC"/>
            <w:tcMar>
              <w:top w:w="100" w:type="dxa"/>
              <w:start w:w="120" w:type="dxa"/>
              <w:bottom w:w="100" w:type="dxa"/>
              <w:end w:w="120" w:type="dxa"/>
            </w:tcMar>
            <w:vAlign w:val="center"/>
          </w:tcPr>
          <w:p>
            <w:pPr>
              <w:spacing w:after="0"/>
            </w:pPr>
            <w:r>
              <w:rPr>
                <w:rFonts w:ascii="Calibri" w:hAnsi="Calibri"/>
                <w:color w:val="243B53"/>
                <w:sz w:val="18"/>
              </w:rPr>
              <w:t>Only the document filename matters for change detection.</w:t>
            </w:r>
          </w:p>
        </w:tc>
        <w:tc>
          <w:tcPr>
            <w:tcW w:type="dxa" w:w="5510"/>
            <w:shd w:fill="F7FAFC"/>
            <w:tcMar>
              <w:top w:w="100" w:type="dxa"/>
              <w:start w:w="120" w:type="dxa"/>
              <w:bottom w:w="100" w:type="dxa"/>
              <w:end w:w="120" w:type="dxa"/>
            </w:tcMar>
            <w:vAlign w:val="center"/>
          </w:tcPr>
          <w:p>
            <w:pPr>
              <w:spacing w:after="0"/>
            </w:pPr>
            <w:r>
              <w:rPr>
                <w:rFonts w:ascii="Calibri" w:hAnsi="Calibri"/>
                <w:color w:val="243B53"/>
                <w:sz w:val="18"/>
              </w:rPr>
              <w:t>Content, chunks, preprocessing, and configuration determine reuse.</w:t>
            </w:r>
          </w:p>
        </w:tc>
      </w:tr>
      <w:tr>
        <w:trPr>
          <w:cantSplit/>
        </w:trPr>
        <w:tc>
          <w:tcPr>
            <w:tcW w:type="dxa" w:w="3850"/>
            <w:tcMar>
              <w:top w:w="100" w:type="dxa"/>
              <w:start w:w="120" w:type="dxa"/>
              <w:bottom w:w="100" w:type="dxa"/>
              <w:end w:w="120" w:type="dxa"/>
            </w:tcMar>
            <w:vAlign w:val="center"/>
          </w:tcPr>
          <w:p>
            <w:pPr>
              <w:spacing w:after="0"/>
            </w:pPr>
            <w:r>
              <w:rPr>
                <w:rFonts w:ascii="Calibri" w:hAnsi="Calibri"/>
                <w:color w:val="243B53"/>
                <w:sz w:val="18"/>
              </w:rPr>
              <w:t>A vector database is the version history.</w:t>
            </w:r>
          </w:p>
        </w:tc>
        <w:tc>
          <w:tcPr>
            <w:tcW w:type="dxa" w:w="5510"/>
            <w:tcMar>
              <w:top w:w="100" w:type="dxa"/>
              <w:start w:w="120" w:type="dxa"/>
              <w:bottom w:w="100" w:type="dxa"/>
              <w:end w:w="120" w:type="dxa"/>
            </w:tcMar>
            <w:vAlign w:val="center"/>
          </w:tcPr>
          <w:p>
            <w:pPr>
              <w:spacing w:after="0"/>
            </w:pPr>
            <w:r>
              <w:rPr>
                <w:rFonts w:ascii="Calibri" w:hAnsi="Calibri"/>
                <w:color w:val="243B53"/>
                <w:sz w:val="18"/>
              </w:rPr>
              <w:t>It is materialized search state; commits and immutable objects are canonical.</w:t>
            </w:r>
          </w:p>
        </w:tc>
      </w:tr>
      <w:tr>
        <w:trPr>
          <w:cantSplit/>
        </w:trPr>
        <w:tc>
          <w:tcPr>
            <w:tcW w:type="dxa" w:w="3850"/>
            <w:shd w:fill="F7FAFC"/>
            <w:tcMar>
              <w:top w:w="100" w:type="dxa"/>
              <w:start w:w="120" w:type="dxa"/>
              <w:bottom w:w="100" w:type="dxa"/>
              <w:end w:w="120" w:type="dxa"/>
            </w:tcMar>
            <w:vAlign w:val="center"/>
          </w:tcPr>
          <w:p>
            <w:pPr>
              <w:spacing w:after="0"/>
            </w:pPr>
            <w:r>
              <w:rPr>
                <w:rFonts w:ascii="Calibri" w:hAnsi="Calibri"/>
                <w:color w:val="243B53"/>
                <w:sz w:val="18"/>
              </w:rPr>
              <w:t>A tiny text edit changes only one vector.</w:t>
            </w:r>
          </w:p>
        </w:tc>
        <w:tc>
          <w:tcPr>
            <w:tcW w:type="dxa" w:w="5510"/>
            <w:shd w:fill="F7FAFC"/>
            <w:tcMar>
              <w:top w:w="100" w:type="dxa"/>
              <w:start w:w="120" w:type="dxa"/>
              <w:bottom w:w="100" w:type="dxa"/>
              <w:end w:w="120" w:type="dxa"/>
            </w:tcMar>
            <w:vAlign w:val="center"/>
          </w:tcPr>
          <w:p>
            <w:pPr>
              <w:spacing w:after="0"/>
            </w:pPr>
            <w:r>
              <w:rPr>
                <w:rFonts w:ascii="Calibri" w:hAnsi="Calibri"/>
                <w:color w:val="243B53"/>
                <w:sz w:val="18"/>
              </w:rPr>
              <w:t>Changed chunk boundaries can affect several downstream chunks.</w:t>
            </w:r>
          </w:p>
        </w:tc>
      </w:tr>
      <w:tr>
        <w:trPr>
          <w:cantSplit/>
        </w:trPr>
        <w:tc>
          <w:tcPr>
            <w:tcW w:type="dxa" w:w="3850"/>
            <w:tcMar>
              <w:top w:w="100" w:type="dxa"/>
              <w:start w:w="120" w:type="dxa"/>
              <w:bottom w:w="100" w:type="dxa"/>
              <w:end w:w="120" w:type="dxa"/>
            </w:tcMar>
            <w:vAlign w:val="center"/>
          </w:tcPr>
          <w:p>
            <w:pPr>
              <w:spacing w:after="0"/>
            </w:pPr>
            <w:r>
              <w:rPr>
                <w:rFonts w:ascii="Calibri" w:hAnsi="Calibri"/>
                <w:color w:val="243B53"/>
                <w:sz w:val="18"/>
              </w:rPr>
              <w:t>Full regeneration is always wasteful.</w:t>
            </w:r>
          </w:p>
        </w:tc>
        <w:tc>
          <w:tcPr>
            <w:tcW w:type="dxa" w:w="5510"/>
            <w:tcMar>
              <w:top w:w="100" w:type="dxa"/>
              <w:start w:w="120" w:type="dxa"/>
              <w:bottom w:w="100" w:type="dxa"/>
              <w:end w:w="120" w:type="dxa"/>
            </w:tcMar>
            <w:vAlign w:val="center"/>
          </w:tcPr>
          <w:p>
            <w:pPr>
              <w:spacing w:after="0"/>
            </w:pPr>
            <w:r>
              <w:rPr>
                <w:rFonts w:ascii="Calibri" w:hAnsi="Calibri"/>
                <w:color w:val="243B53"/>
                <w:sz w:val="18"/>
              </w:rPr>
              <w:t>It is the correctness baseline, especially after incompatible changes.</w:t>
            </w:r>
          </w:p>
        </w:tc>
      </w:tr>
    </w:tbl>
    <w:p>
      <w:pPr>
        <w:spacing w:after="20"/>
      </w:pPr>
    </w:p>
    <w:p>
      <w:pPr>
        <w:pStyle w:val="Heading2"/>
      </w:pPr>
      <w:r>
        <w:t>Engineering guardrails</w:t>
      </w:r>
    </w:p>
    <w:p>
      <w:pPr>
        <w:pStyle w:val="ListBullet"/>
      </w:pPr>
      <w:r>
        <w:rPr>
          <w:rFonts w:ascii="Calibri" w:hAnsi="Calibri"/>
          <w:color w:val="243B53"/>
        </w:rPr>
        <w:t>Use deterministic normalization and chunking before optimizing performance.</w:t>
      </w:r>
    </w:p>
    <w:p>
      <w:pPr>
        <w:pStyle w:val="ListBullet"/>
      </w:pPr>
      <w:r>
        <w:rPr>
          <w:rFonts w:ascii="Calibri" w:hAnsi="Calibri"/>
          <w:color w:val="243B53"/>
        </w:rPr>
        <w:t>Hash canonical serialized configuration, not unordered dictionaries or display text.</w:t>
      </w:r>
    </w:p>
    <w:p>
      <w:pPr>
        <w:pStyle w:val="ListBullet"/>
      </w:pPr>
      <w:r>
        <w:rPr>
          <w:rFonts w:ascii="Calibri" w:hAnsi="Calibri"/>
          <w:color w:val="243B53"/>
        </w:rPr>
        <w:t>Keep immutable objects separate from mutable refs, cache, and vector-store state.</w:t>
      </w:r>
    </w:p>
    <w:p>
      <w:pPr>
        <w:pStyle w:val="ListBullet"/>
      </w:pPr>
      <w:r>
        <w:rPr>
          <w:rFonts w:ascii="Calibri" w:hAnsi="Calibri"/>
          <w:color w:val="243B53"/>
        </w:rPr>
        <w:t>Validate object hashes when reading and before restore.</w:t>
      </w:r>
    </w:p>
    <w:p>
      <w:pPr>
        <w:pStyle w:val="ListBullet"/>
      </w:pPr>
      <w:r>
        <w:rPr>
          <w:rFonts w:ascii="Calibri" w:hAnsi="Calibri"/>
          <w:color w:val="243B53"/>
        </w:rPr>
        <w:t>Make commit creation atomic so partial failures do not advance a branch ref.</w:t>
      </w:r>
    </w:p>
    <w:p>
      <w:pPr>
        <w:pStyle w:val="ListBullet"/>
      </w:pPr>
      <w:r>
        <w:rPr>
          <w:rFonts w:ascii="Calibri" w:hAnsi="Calibri"/>
          <w:color w:val="243B53"/>
        </w:rPr>
        <w:t>Treat deletion and metadata-only changes explicitly.</w:t>
      </w:r>
    </w:p>
    <w:p>
      <w:pPr>
        <w:pStyle w:val="ListBullet"/>
      </w:pPr>
      <w:r>
        <w:rPr>
          <w:rFonts w:ascii="Calibri" w:hAnsi="Calibri"/>
          <w:color w:val="243B53"/>
        </w:rPr>
        <w:t>Benchmark full, document-level, and chunk-level regeneration on equivalent final states.</w:t>
      </w:r>
    </w:p>
    <w:p>
      <w:pPr>
        <w:pStyle w:val="ListBullet"/>
      </w:pPr>
      <w:r>
        <w:rPr>
          <w:rFonts w:ascii="Calibri" w:hAnsi="Calibri"/>
          <w:color w:val="243B53"/>
        </w:rPr>
        <w:t>Evaluate retrieval with labeled queries and report negative results.</w:t>
      </w:r>
    </w:p>
    <w:p>
      <w:pPr>
        <w:pStyle w:val="ListBullet"/>
      </w:pPr>
      <w:r>
        <w:rPr>
          <w:rFonts w:ascii="Calibri" w:hAnsi="Calibri"/>
          <w:color w:val="243B53"/>
        </w:rPr>
        <w:t>Never commit sensitive source documents or model caches by accident.</w:t>
      </w:r>
    </w:p>
    <w:p>
      <w:pPr>
        <w:pStyle w:val="Heading2"/>
      </w:pPr>
      <w:r>
        <w:t>What the MVP is not</w:t>
      </w:r>
    </w:p>
    <w:p>
      <w:r>
        <w:rPr>
          <w:rFonts w:ascii="Calibri" w:hAnsi="Calibri"/>
          <w:i w:val="0"/>
          <w:color w:val="243B53"/>
        </w:rPr>
        <w:t>It is not a new embedding model, not a replacement for Git, not a distributed multi-user service, and not a guarantee that vectors from different models can be aligned. Its contribution is lifecycle management and empirical evaluation.</w:t>
      </w:r>
    </w:p>
    <w:p>
      <w:r>
        <w:br w:type="page"/>
      </w:r>
    </w:p>
    <w:p>
      <w:pPr>
        <w:pStyle w:val="Heading1"/>
      </w:pPr>
      <w:r>
        <w:t>10. Team kickoff plan</w:t>
      </w:r>
    </w:p>
    <w:p>
      <w:r>
        <w:rPr>
          <w:rFonts w:ascii="Calibri" w:hAnsi="Calibri"/>
          <w:i w:val="0"/>
          <w:color w:val="243B53"/>
        </w:rPr>
        <w:t>Use this sequence to bring the team to a shared working baseline before dividing implementation work.</w:t>
      </w:r>
    </w:p>
    <w:tbl>
      <w:tblPr>
        <w:tblStyle w:val="TableGrid"/>
        <w:tblW w:type="dxa" w:w="9360"/>
        <w:tblLayout w:type="fixed"/>
        <w:tblLook w:firstColumn="1" w:firstRow="1" w:lastColumn="0" w:lastRow="0" w:noHBand="0" w:noVBand="1" w:val="04A0"/>
        <w:jc w:val="left"/>
        <w:tblInd w:w="120" w:type="dxa"/>
      </w:tblPr>
      <w:tblGrid>
        <w:gridCol w:w="2600"/>
        <w:gridCol w:w="6760"/>
      </w:tblGrid>
      <w:tr>
        <w:trPr>
          <w:cantSplit/>
          <w:tblHeader w:val="true"/>
          <w:cantSplit/>
        </w:trPr>
        <w:tc>
          <w:tcPr>
            <w:tcW w:type="dxa" w:w="2600"/>
            <w:tcMar>
              <w:top w:w="100" w:type="dxa"/>
              <w:start w:w="120" w:type="dxa"/>
              <w:bottom w:w="100" w:type="dxa"/>
              <w:end w:w="120" w:type="dxa"/>
            </w:tcMar>
            <w:vAlign w:val="center"/>
            <w:shd w:fill="102A43"/>
          </w:tcPr>
          <w:p>
            <w:pPr>
              <w:spacing w:after="0"/>
            </w:pPr>
            <w:r>
              <w:rPr>
                <w:rFonts w:ascii="Calibri" w:hAnsi="Calibri"/>
                <w:b/>
                <w:color w:val="FFFFFF"/>
                <w:sz w:val="18"/>
              </w:rPr>
              <w:t>Session</w:t>
            </w:r>
          </w:p>
        </w:tc>
        <w:tc>
          <w:tcPr>
            <w:tcW w:type="dxa" w:w="6760"/>
            <w:tcMar>
              <w:top w:w="100" w:type="dxa"/>
              <w:start w:w="120" w:type="dxa"/>
              <w:bottom w:w="100" w:type="dxa"/>
              <w:end w:w="120" w:type="dxa"/>
            </w:tcMar>
            <w:vAlign w:val="center"/>
            <w:shd w:fill="102A43"/>
          </w:tcPr>
          <w:p>
            <w:pPr>
              <w:spacing w:after="0"/>
            </w:pPr>
            <w:r>
              <w:rPr>
                <w:rFonts w:ascii="Calibri" w:hAnsi="Calibri"/>
                <w:b/>
                <w:color w:val="FFFFFF"/>
                <w:sz w:val="18"/>
              </w:rPr>
              <w:t>Team activity</w:t>
            </w:r>
          </w:p>
        </w:tc>
      </w:tr>
      <w:tr>
        <w:trPr>
          <w:cantSplit/>
        </w:trPr>
        <w:tc>
          <w:tcPr>
            <w:tcW w:type="dxa" w:w="2600"/>
            <w:tcMar>
              <w:top w:w="100" w:type="dxa"/>
              <w:start w:w="120" w:type="dxa"/>
              <w:bottom w:w="100" w:type="dxa"/>
              <w:end w:w="120" w:type="dxa"/>
            </w:tcMar>
            <w:vAlign w:val="center"/>
          </w:tcPr>
          <w:p>
            <w:pPr>
              <w:spacing w:after="0"/>
            </w:pPr>
            <w:r>
              <w:rPr>
                <w:rFonts w:ascii="Calibri" w:hAnsi="Calibri"/>
                <w:color w:val="243B53"/>
                <w:sz w:val="18"/>
              </w:rPr>
              <w:t>Session 1 - Concepts</w:t>
            </w:r>
          </w:p>
        </w:tc>
        <w:tc>
          <w:tcPr>
            <w:tcW w:type="dxa" w:w="6760"/>
            <w:tcMar>
              <w:top w:w="100" w:type="dxa"/>
              <w:start w:w="120" w:type="dxa"/>
              <w:bottom w:w="100" w:type="dxa"/>
              <w:end w:w="120" w:type="dxa"/>
            </w:tcMar>
            <w:vAlign w:val="center"/>
          </w:tcPr>
          <w:p>
            <w:pPr>
              <w:spacing w:after="0"/>
            </w:pPr>
            <w:r>
              <w:rPr>
                <w:rFonts w:ascii="Calibri" w:hAnsi="Calibri"/>
                <w:color w:val="243B53"/>
                <w:sz w:val="18"/>
              </w:rPr>
              <w:t>Read sections 1-6 together. Each person explains one concept in their own words.</w:t>
            </w:r>
          </w:p>
        </w:tc>
      </w:tr>
      <w:tr>
        <w:trPr>
          <w:cantSplit/>
        </w:trPr>
        <w:tc>
          <w:tcPr>
            <w:tcW w:type="dxa" w:w="2600"/>
            <w:shd w:fill="F7FAFC"/>
            <w:tcMar>
              <w:top w:w="100" w:type="dxa"/>
              <w:start w:w="120" w:type="dxa"/>
              <w:bottom w:w="100" w:type="dxa"/>
              <w:end w:w="120" w:type="dxa"/>
            </w:tcMar>
            <w:vAlign w:val="center"/>
          </w:tcPr>
          <w:p>
            <w:pPr>
              <w:spacing w:after="0"/>
            </w:pPr>
            <w:r>
              <w:rPr>
                <w:rFonts w:ascii="Calibri" w:hAnsi="Calibri"/>
                <w:color w:val="243B53"/>
                <w:sz w:val="18"/>
              </w:rPr>
              <w:t>Session 2 - Mini notebook</w:t>
            </w:r>
          </w:p>
        </w:tc>
        <w:tc>
          <w:tcPr>
            <w:tcW w:type="dxa" w:w="6760"/>
            <w:shd w:fill="F7FAFC"/>
            <w:tcMar>
              <w:top w:w="100" w:type="dxa"/>
              <w:start w:w="120" w:type="dxa"/>
              <w:bottom w:w="100" w:type="dxa"/>
              <w:end w:w="120" w:type="dxa"/>
            </w:tcMar>
            <w:vAlign w:val="center"/>
          </w:tcPr>
          <w:p>
            <w:pPr>
              <w:spacing w:after="0"/>
            </w:pPr>
            <w:r>
              <w:rPr>
                <w:rFonts w:ascii="Calibri" w:hAnsi="Calibri"/>
                <w:color w:val="243B53"/>
                <w:sz w:val="18"/>
              </w:rPr>
              <w:t>Embed 10 short sentences, calculate cosine similarities, and inspect nearest neighbours.</w:t>
            </w:r>
          </w:p>
        </w:tc>
      </w:tr>
      <w:tr>
        <w:trPr>
          <w:cantSplit/>
        </w:trPr>
        <w:tc>
          <w:tcPr>
            <w:tcW w:type="dxa" w:w="2600"/>
            <w:tcMar>
              <w:top w:w="100" w:type="dxa"/>
              <w:start w:w="120" w:type="dxa"/>
              <w:bottom w:w="100" w:type="dxa"/>
              <w:end w:w="120" w:type="dxa"/>
            </w:tcMar>
            <w:vAlign w:val="center"/>
          </w:tcPr>
          <w:p>
            <w:pPr>
              <w:spacing w:after="0"/>
            </w:pPr>
            <w:r>
              <w:rPr>
                <w:rFonts w:ascii="Calibri" w:hAnsi="Calibri"/>
                <w:color w:val="243B53"/>
                <w:sz w:val="18"/>
              </w:rPr>
              <w:t>Session 3 - ChromaDB</w:t>
            </w:r>
          </w:p>
        </w:tc>
        <w:tc>
          <w:tcPr>
            <w:tcW w:type="dxa" w:w="6760"/>
            <w:tcMar>
              <w:top w:w="100" w:type="dxa"/>
              <w:start w:w="120" w:type="dxa"/>
              <w:bottom w:w="100" w:type="dxa"/>
              <w:end w:w="120" w:type="dxa"/>
            </w:tcMar>
            <w:vAlign w:val="center"/>
          </w:tcPr>
          <w:p>
            <w:pPr>
              <w:spacing w:after="0"/>
            </w:pPr>
            <w:r>
              <w:rPr>
                <w:rFonts w:ascii="Calibri" w:hAnsi="Calibri"/>
                <w:color w:val="243B53"/>
                <w:sz w:val="18"/>
              </w:rPr>
              <w:t>Insert the vectors with metadata, run top-k queries, and test a metadata filter.</w:t>
            </w:r>
          </w:p>
        </w:tc>
      </w:tr>
      <w:tr>
        <w:trPr>
          <w:cantSplit/>
        </w:trPr>
        <w:tc>
          <w:tcPr>
            <w:tcW w:type="dxa" w:w="2600"/>
            <w:shd w:fill="F7FAFC"/>
            <w:tcMar>
              <w:top w:w="100" w:type="dxa"/>
              <w:start w:w="120" w:type="dxa"/>
              <w:bottom w:w="100" w:type="dxa"/>
              <w:end w:w="120" w:type="dxa"/>
            </w:tcMar>
            <w:vAlign w:val="center"/>
          </w:tcPr>
          <w:p>
            <w:pPr>
              <w:spacing w:after="0"/>
            </w:pPr>
            <w:r>
              <w:rPr>
                <w:rFonts w:ascii="Calibri" w:hAnsi="Calibri"/>
                <w:color w:val="243B53"/>
                <w:sz w:val="18"/>
              </w:rPr>
              <w:t>Session 4 - Change experiment</w:t>
            </w:r>
          </w:p>
        </w:tc>
        <w:tc>
          <w:tcPr>
            <w:tcW w:type="dxa" w:w="6760"/>
            <w:shd w:fill="F7FAFC"/>
            <w:tcMar>
              <w:top w:w="100" w:type="dxa"/>
              <w:start w:w="120" w:type="dxa"/>
              <w:bottom w:w="100" w:type="dxa"/>
              <w:end w:w="120" w:type="dxa"/>
            </w:tcMar>
            <w:vAlign w:val="center"/>
          </w:tcPr>
          <w:p>
            <w:pPr>
              <w:spacing w:after="0"/>
            </w:pPr>
            <w:r>
              <w:rPr>
                <w:rFonts w:ascii="Calibri" w:hAnsi="Calibri"/>
                <w:color w:val="243B53"/>
                <w:sz w:val="18"/>
              </w:rPr>
              <w:t>Edit one source paragraph, re-chunk, and identify what should be reused or regenerated.</w:t>
            </w:r>
          </w:p>
        </w:tc>
      </w:tr>
      <w:tr>
        <w:trPr>
          <w:cantSplit/>
        </w:trPr>
        <w:tc>
          <w:tcPr>
            <w:tcW w:type="dxa" w:w="2600"/>
            <w:tcMar>
              <w:top w:w="100" w:type="dxa"/>
              <w:start w:w="120" w:type="dxa"/>
              <w:bottom w:w="100" w:type="dxa"/>
              <w:end w:w="120" w:type="dxa"/>
            </w:tcMar>
            <w:vAlign w:val="center"/>
          </w:tcPr>
          <w:p>
            <w:pPr>
              <w:spacing w:after="0"/>
            </w:pPr>
            <w:r>
              <w:rPr>
                <w:rFonts w:ascii="Calibri" w:hAnsi="Calibri"/>
                <w:color w:val="243B53"/>
                <w:sz w:val="18"/>
              </w:rPr>
              <w:t>Session 5 - Design agreement</w:t>
            </w:r>
          </w:p>
        </w:tc>
        <w:tc>
          <w:tcPr>
            <w:tcW w:type="dxa" w:w="6760"/>
            <w:tcMar>
              <w:top w:w="100" w:type="dxa"/>
              <w:start w:w="120" w:type="dxa"/>
              <w:bottom w:w="100" w:type="dxa"/>
              <w:end w:w="120" w:type="dxa"/>
            </w:tcMar>
            <w:vAlign w:val="center"/>
          </w:tcPr>
          <w:p>
            <w:pPr>
              <w:spacing w:after="0"/>
            </w:pPr>
            <w:r>
              <w:rPr>
                <w:rFonts w:ascii="Calibri" w:hAnsi="Calibri"/>
                <w:color w:val="243B53"/>
                <w:sz w:val="18"/>
              </w:rPr>
              <w:t>Freeze MVP schemas, configuration fingerprint, object format, CLI behavior, and test strategy.</w:t>
            </w:r>
          </w:p>
        </w:tc>
      </w:tr>
    </w:tbl>
    <w:p>
      <w:pPr>
        <w:spacing w:after="20"/>
      </w:pPr>
    </w:p>
    <w:p>
      <w:pPr>
        <w:pStyle w:val="Heading2"/>
      </w:pPr>
      <w:r>
        <w:t>Suggested ownership</w:t>
      </w:r>
    </w:p>
    <w:tbl>
      <w:tblPr>
        <w:tblStyle w:val="TableGrid"/>
        <w:tblW w:type="dxa" w:w="9360"/>
        <w:tblLayout w:type="fixed"/>
        <w:tblLook w:firstColumn="1" w:firstRow="1" w:lastColumn="0" w:lastRow="0" w:noHBand="0" w:noVBand="1" w:val="04A0"/>
        <w:jc w:val="left"/>
        <w:tblInd w:w="120" w:type="dxa"/>
      </w:tblPr>
      <w:tblGrid>
        <w:gridCol w:w="1900"/>
        <w:gridCol w:w="4210"/>
        <w:gridCol w:w="3250"/>
      </w:tblGrid>
      <w:tr>
        <w:trPr>
          <w:cantSplit/>
          <w:tblHeader w:val="true"/>
          <w:cantSplit/>
        </w:trPr>
        <w:tc>
          <w:tcPr>
            <w:tcW w:type="dxa" w:w="1900"/>
            <w:tcMar>
              <w:top w:w="100" w:type="dxa"/>
              <w:start w:w="120" w:type="dxa"/>
              <w:bottom w:w="100" w:type="dxa"/>
              <w:end w:w="120" w:type="dxa"/>
            </w:tcMar>
            <w:vAlign w:val="center"/>
            <w:shd w:fill="102A43"/>
          </w:tcPr>
          <w:p>
            <w:pPr>
              <w:spacing w:after="0"/>
            </w:pPr>
            <w:r>
              <w:rPr>
                <w:rFonts w:ascii="Calibri" w:hAnsi="Calibri"/>
                <w:b/>
                <w:color w:val="FFFFFF"/>
                <w:sz w:val="18"/>
              </w:rPr>
              <w:t>Workstream</w:t>
            </w:r>
          </w:p>
        </w:tc>
        <w:tc>
          <w:tcPr>
            <w:tcW w:type="dxa" w:w="4210"/>
            <w:tcMar>
              <w:top w:w="100" w:type="dxa"/>
              <w:start w:w="120" w:type="dxa"/>
              <w:bottom w:w="100" w:type="dxa"/>
              <w:end w:w="120" w:type="dxa"/>
            </w:tcMar>
            <w:vAlign w:val="center"/>
            <w:shd w:fill="102A43"/>
          </w:tcPr>
          <w:p>
            <w:pPr>
              <w:spacing w:after="0"/>
            </w:pPr>
            <w:r>
              <w:rPr>
                <w:rFonts w:ascii="Calibri" w:hAnsi="Calibri"/>
                <w:b/>
                <w:color w:val="FFFFFF"/>
                <w:sz w:val="18"/>
              </w:rPr>
              <w:t>Primary responsibility</w:t>
            </w:r>
          </w:p>
        </w:tc>
        <w:tc>
          <w:tcPr>
            <w:tcW w:type="dxa" w:w="3250"/>
            <w:tcMar>
              <w:top w:w="100" w:type="dxa"/>
              <w:start w:w="120" w:type="dxa"/>
              <w:bottom w:w="100" w:type="dxa"/>
              <w:end w:w="120" w:type="dxa"/>
            </w:tcMar>
            <w:vAlign w:val="center"/>
            <w:shd w:fill="102A43"/>
          </w:tcPr>
          <w:p>
            <w:pPr>
              <w:spacing w:after="0"/>
            </w:pPr>
            <w:r>
              <w:rPr>
                <w:rFonts w:ascii="Calibri" w:hAnsi="Calibri"/>
                <w:b/>
                <w:color w:val="FFFFFF"/>
                <w:sz w:val="18"/>
              </w:rPr>
              <w:t>Interfaces to agree first</w:t>
            </w:r>
          </w:p>
        </w:tc>
      </w:tr>
      <w:tr>
        <w:trPr>
          <w:cantSplit/>
        </w:trPr>
        <w:tc>
          <w:tcPr>
            <w:tcW w:type="dxa" w:w="1900"/>
            <w:tcMar>
              <w:top w:w="100" w:type="dxa"/>
              <w:start w:w="120" w:type="dxa"/>
              <w:bottom w:w="100" w:type="dxa"/>
              <w:end w:w="120" w:type="dxa"/>
            </w:tcMar>
            <w:vAlign w:val="center"/>
          </w:tcPr>
          <w:p>
            <w:pPr>
              <w:spacing w:after="0"/>
            </w:pPr>
            <w:r>
              <w:rPr>
                <w:rFonts w:ascii="Calibri" w:hAnsi="Calibri"/>
                <w:color w:val="243B53"/>
                <w:sz w:val="18"/>
              </w:rPr>
              <w:t>Document pipeline</w:t>
            </w:r>
          </w:p>
        </w:tc>
        <w:tc>
          <w:tcPr>
            <w:tcW w:type="dxa" w:w="4210"/>
            <w:tcMar>
              <w:top w:w="100" w:type="dxa"/>
              <w:start w:w="120" w:type="dxa"/>
              <w:bottom w:w="100" w:type="dxa"/>
              <w:end w:w="120" w:type="dxa"/>
            </w:tcMar>
            <w:vAlign w:val="center"/>
          </w:tcPr>
          <w:p>
            <w:pPr>
              <w:spacing w:after="0"/>
            </w:pPr>
            <w:r>
              <w:rPr>
                <w:rFonts w:ascii="Calibri" w:hAnsi="Calibri"/>
                <w:color w:val="243B53"/>
                <w:sz w:val="18"/>
              </w:rPr>
              <w:t>Loading, normalization, chunking, stable IDs</w:t>
            </w:r>
          </w:p>
        </w:tc>
        <w:tc>
          <w:tcPr>
            <w:tcW w:type="dxa" w:w="3250"/>
            <w:tcMar>
              <w:top w:w="100" w:type="dxa"/>
              <w:start w:w="120" w:type="dxa"/>
              <w:bottom w:w="100" w:type="dxa"/>
              <w:end w:w="120" w:type="dxa"/>
            </w:tcMar>
            <w:vAlign w:val="center"/>
          </w:tcPr>
          <w:p>
            <w:pPr>
              <w:spacing w:after="0"/>
            </w:pPr>
            <w:r>
              <w:rPr>
                <w:rFonts w:ascii="Calibri" w:hAnsi="Calibri"/>
                <w:color w:val="243B53"/>
                <w:sz w:val="18"/>
              </w:rPr>
              <w:t>Chunk schema and configuration</w:t>
            </w:r>
          </w:p>
        </w:tc>
      </w:tr>
      <w:tr>
        <w:trPr>
          <w:cantSplit/>
        </w:trPr>
        <w:tc>
          <w:tcPr>
            <w:tcW w:type="dxa" w:w="1900"/>
            <w:shd w:fill="F7FAFC"/>
            <w:tcMar>
              <w:top w:w="100" w:type="dxa"/>
              <w:start w:w="120" w:type="dxa"/>
              <w:bottom w:w="100" w:type="dxa"/>
              <w:end w:w="120" w:type="dxa"/>
            </w:tcMar>
            <w:vAlign w:val="center"/>
          </w:tcPr>
          <w:p>
            <w:pPr>
              <w:spacing w:after="0"/>
            </w:pPr>
            <w:r>
              <w:rPr>
                <w:rFonts w:ascii="Calibri" w:hAnsi="Calibri"/>
                <w:color w:val="243B53"/>
                <w:sz w:val="18"/>
              </w:rPr>
              <w:t>Embedding engine</w:t>
            </w:r>
          </w:p>
        </w:tc>
        <w:tc>
          <w:tcPr>
            <w:tcW w:type="dxa" w:w="4210"/>
            <w:shd w:fill="F7FAFC"/>
            <w:tcMar>
              <w:top w:w="100" w:type="dxa"/>
              <w:start w:w="120" w:type="dxa"/>
              <w:bottom w:w="100" w:type="dxa"/>
              <w:end w:w="120" w:type="dxa"/>
            </w:tcMar>
            <w:vAlign w:val="center"/>
          </w:tcPr>
          <w:p>
            <w:pPr>
              <w:spacing w:after="0"/>
            </w:pPr>
            <w:r>
              <w:rPr>
                <w:rFonts w:ascii="Calibri" w:hAnsi="Calibri"/>
                <w:color w:val="243B53"/>
                <w:sz w:val="18"/>
              </w:rPr>
              <w:t>Model loading, batching, normalization, provenance</w:t>
            </w:r>
          </w:p>
        </w:tc>
        <w:tc>
          <w:tcPr>
            <w:tcW w:type="dxa" w:w="3250"/>
            <w:shd w:fill="F7FAFC"/>
            <w:tcMar>
              <w:top w:w="100" w:type="dxa"/>
              <w:start w:w="120" w:type="dxa"/>
              <w:bottom w:w="100" w:type="dxa"/>
              <w:end w:w="120" w:type="dxa"/>
            </w:tcMar>
            <w:vAlign w:val="center"/>
          </w:tcPr>
          <w:p>
            <w:pPr>
              <w:spacing w:after="0"/>
            </w:pPr>
            <w:r>
              <w:rPr>
                <w:rFonts w:ascii="Calibri" w:hAnsi="Calibri"/>
                <w:color w:val="243B53"/>
                <w:sz w:val="18"/>
              </w:rPr>
              <w:t>Embedding object schema</w:t>
            </w:r>
          </w:p>
        </w:tc>
      </w:tr>
      <w:tr>
        <w:trPr>
          <w:cantSplit/>
        </w:trPr>
        <w:tc>
          <w:tcPr>
            <w:tcW w:type="dxa" w:w="1900"/>
            <w:tcMar>
              <w:top w:w="100" w:type="dxa"/>
              <w:start w:w="120" w:type="dxa"/>
              <w:bottom w:w="100" w:type="dxa"/>
              <w:end w:w="120" w:type="dxa"/>
            </w:tcMar>
            <w:vAlign w:val="center"/>
          </w:tcPr>
          <w:p>
            <w:pPr>
              <w:spacing w:after="0"/>
            </w:pPr>
            <w:r>
              <w:rPr>
                <w:rFonts w:ascii="Calibri" w:hAnsi="Calibri"/>
                <w:color w:val="243B53"/>
                <w:sz w:val="18"/>
              </w:rPr>
              <w:t>Repository core</w:t>
            </w:r>
          </w:p>
        </w:tc>
        <w:tc>
          <w:tcPr>
            <w:tcW w:type="dxa" w:w="4210"/>
            <w:tcMar>
              <w:top w:w="100" w:type="dxa"/>
              <w:start w:w="120" w:type="dxa"/>
              <w:bottom w:w="100" w:type="dxa"/>
              <w:end w:w="120" w:type="dxa"/>
            </w:tcMar>
            <w:vAlign w:val="center"/>
          </w:tcPr>
          <w:p>
            <w:pPr>
              <w:spacing w:after="0"/>
            </w:pPr>
            <w:r>
              <w:rPr>
                <w:rFonts w:ascii="Calibri" w:hAnsi="Calibri"/>
                <w:color w:val="243B53"/>
                <w:sz w:val="18"/>
              </w:rPr>
              <w:t>Objects, commits, refs, integrity, checkout</w:t>
            </w:r>
          </w:p>
        </w:tc>
        <w:tc>
          <w:tcPr>
            <w:tcW w:type="dxa" w:w="3250"/>
            <w:tcMar>
              <w:top w:w="100" w:type="dxa"/>
              <w:start w:w="120" w:type="dxa"/>
              <w:bottom w:w="100" w:type="dxa"/>
              <w:end w:w="120" w:type="dxa"/>
            </w:tcMar>
            <w:vAlign w:val="center"/>
          </w:tcPr>
          <w:p>
            <w:pPr>
              <w:spacing w:after="0"/>
            </w:pPr>
            <w:r>
              <w:rPr>
                <w:rFonts w:ascii="Calibri" w:hAnsi="Calibri"/>
                <w:color w:val="243B53"/>
                <w:sz w:val="18"/>
              </w:rPr>
              <w:t>Canonical serialization and hashes</w:t>
            </w:r>
          </w:p>
        </w:tc>
      </w:tr>
      <w:tr>
        <w:trPr>
          <w:cantSplit/>
        </w:trPr>
        <w:tc>
          <w:tcPr>
            <w:tcW w:type="dxa" w:w="1900"/>
            <w:shd w:fill="F7FAFC"/>
            <w:tcMar>
              <w:top w:w="100" w:type="dxa"/>
              <w:start w:w="120" w:type="dxa"/>
              <w:bottom w:w="100" w:type="dxa"/>
              <w:end w:w="120" w:type="dxa"/>
            </w:tcMar>
            <w:vAlign w:val="center"/>
          </w:tcPr>
          <w:p>
            <w:pPr>
              <w:spacing w:after="0"/>
            </w:pPr>
            <w:r>
              <w:rPr>
                <w:rFonts w:ascii="Calibri" w:hAnsi="Calibri"/>
                <w:color w:val="243B53"/>
                <w:sz w:val="18"/>
              </w:rPr>
              <w:t>Change detection</w:t>
            </w:r>
          </w:p>
        </w:tc>
        <w:tc>
          <w:tcPr>
            <w:tcW w:type="dxa" w:w="4210"/>
            <w:shd w:fill="F7FAFC"/>
            <w:tcMar>
              <w:top w:w="100" w:type="dxa"/>
              <w:start w:w="120" w:type="dxa"/>
              <w:bottom w:w="100" w:type="dxa"/>
              <w:end w:w="120" w:type="dxa"/>
            </w:tcMar>
            <w:vAlign w:val="center"/>
          </w:tcPr>
          <w:p>
            <w:pPr>
              <w:spacing w:after="0"/>
            </w:pPr>
            <w:r>
              <w:rPr>
                <w:rFonts w:ascii="Calibri" w:hAnsi="Calibri"/>
                <w:color w:val="243B53"/>
                <w:sz w:val="18"/>
              </w:rPr>
              <w:t>Added/modified/deleted/unchanged/stale classification</w:t>
            </w:r>
          </w:p>
        </w:tc>
        <w:tc>
          <w:tcPr>
            <w:tcW w:type="dxa" w:w="3250"/>
            <w:shd w:fill="F7FAFC"/>
            <w:tcMar>
              <w:top w:w="100" w:type="dxa"/>
              <w:start w:w="120" w:type="dxa"/>
              <w:bottom w:w="100" w:type="dxa"/>
              <w:end w:w="120" w:type="dxa"/>
            </w:tcMar>
            <w:vAlign w:val="center"/>
          </w:tcPr>
          <w:p>
            <w:pPr>
              <w:spacing w:after="0"/>
            </w:pPr>
            <w:r>
              <w:rPr>
                <w:rFonts w:ascii="Calibri" w:hAnsi="Calibri"/>
                <w:color w:val="243B53"/>
                <w:sz w:val="18"/>
              </w:rPr>
              <w:t>Reuse and invalidation rules</w:t>
            </w:r>
          </w:p>
        </w:tc>
      </w:tr>
      <w:tr>
        <w:trPr>
          <w:cantSplit/>
        </w:trPr>
        <w:tc>
          <w:tcPr>
            <w:tcW w:type="dxa" w:w="1900"/>
            <w:tcMar>
              <w:top w:w="100" w:type="dxa"/>
              <w:start w:w="120" w:type="dxa"/>
              <w:bottom w:w="100" w:type="dxa"/>
              <w:end w:w="120" w:type="dxa"/>
            </w:tcMar>
            <w:vAlign w:val="center"/>
          </w:tcPr>
          <w:p>
            <w:pPr>
              <w:spacing w:after="0"/>
            </w:pPr>
            <w:r>
              <w:rPr>
                <w:rFonts w:ascii="Calibri" w:hAnsi="Calibri"/>
                <w:color w:val="243B53"/>
                <w:sz w:val="18"/>
              </w:rPr>
              <w:t>Vector adapter</w:t>
            </w:r>
          </w:p>
        </w:tc>
        <w:tc>
          <w:tcPr>
            <w:tcW w:type="dxa" w:w="4210"/>
            <w:tcMar>
              <w:top w:w="100" w:type="dxa"/>
              <w:start w:w="120" w:type="dxa"/>
              <w:bottom w:w="100" w:type="dxa"/>
              <w:end w:w="120" w:type="dxa"/>
            </w:tcMar>
            <w:vAlign w:val="center"/>
          </w:tcPr>
          <w:p>
            <w:pPr>
              <w:spacing w:after="0"/>
            </w:pPr>
            <w:r>
              <w:rPr>
                <w:rFonts w:ascii="Calibri" w:hAnsi="Calibri"/>
                <w:color w:val="243B53"/>
                <w:sz w:val="18"/>
              </w:rPr>
              <w:t>ChromaDB materialization, deletion, restore</w:t>
            </w:r>
          </w:p>
        </w:tc>
        <w:tc>
          <w:tcPr>
            <w:tcW w:type="dxa" w:w="3250"/>
            <w:tcMar>
              <w:top w:w="100" w:type="dxa"/>
              <w:start w:w="120" w:type="dxa"/>
              <w:bottom w:w="100" w:type="dxa"/>
              <w:end w:w="120" w:type="dxa"/>
            </w:tcMar>
            <w:vAlign w:val="center"/>
          </w:tcPr>
          <w:p>
            <w:pPr>
              <w:spacing w:after="0"/>
            </w:pPr>
            <w:r>
              <w:rPr>
                <w:rFonts w:ascii="Calibri" w:hAnsi="Calibri"/>
                <w:color w:val="243B53"/>
                <w:sz w:val="18"/>
              </w:rPr>
              <w:t>Commit-to-store synchronization</w:t>
            </w:r>
          </w:p>
        </w:tc>
      </w:tr>
      <w:tr>
        <w:trPr>
          <w:cantSplit/>
        </w:trPr>
        <w:tc>
          <w:tcPr>
            <w:tcW w:type="dxa" w:w="1900"/>
            <w:shd w:fill="F7FAFC"/>
            <w:tcMar>
              <w:top w:w="100" w:type="dxa"/>
              <w:start w:w="120" w:type="dxa"/>
              <w:bottom w:w="100" w:type="dxa"/>
              <w:end w:w="120" w:type="dxa"/>
            </w:tcMar>
            <w:vAlign w:val="center"/>
          </w:tcPr>
          <w:p>
            <w:pPr>
              <w:spacing w:after="0"/>
            </w:pPr>
            <w:r>
              <w:rPr>
                <w:rFonts w:ascii="Calibri" w:hAnsi="Calibri"/>
                <w:color w:val="243B53"/>
                <w:sz w:val="18"/>
              </w:rPr>
              <w:t>Evaluation</w:t>
            </w:r>
          </w:p>
        </w:tc>
        <w:tc>
          <w:tcPr>
            <w:tcW w:type="dxa" w:w="4210"/>
            <w:shd w:fill="F7FAFC"/>
            <w:tcMar>
              <w:top w:w="100" w:type="dxa"/>
              <w:start w:w="120" w:type="dxa"/>
              <w:bottom w:w="100" w:type="dxa"/>
              <w:end w:w="120" w:type="dxa"/>
            </w:tcMar>
            <w:vAlign w:val="center"/>
          </w:tcPr>
          <w:p>
            <w:pPr>
              <w:spacing w:after="0"/>
            </w:pPr>
            <w:r>
              <w:rPr>
                <w:rFonts w:ascii="Calibri" w:hAnsi="Calibri"/>
                <w:color w:val="243B53"/>
                <w:sz w:val="18"/>
              </w:rPr>
              <w:t>Datasets, baselines, metrics, reproducible reports</w:t>
            </w:r>
          </w:p>
        </w:tc>
        <w:tc>
          <w:tcPr>
            <w:tcW w:type="dxa" w:w="3250"/>
            <w:shd w:fill="F7FAFC"/>
            <w:tcMar>
              <w:top w:w="100" w:type="dxa"/>
              <w:start w:w="120" w:type="dxa"/>
              <w:bottom w:w="100" w:type="dxa"/>
              <w:end w:w="120" w:type="dxa"/>
            </w:tcMar>
            <w:vAlign w:val="center"/>
          </w:tcPr>
          <w:p>
            <w:pPr>
              <w:spacing w:after="0"/>
            </w:pPr>
            <w:r>
              <w:rPr>
                <w:rFonts w:ascii="Calibri" w:hAnsi="Calibri"/>
                <w:color w:val="243B53"/>
                <w:sz w:val="18"/>
              </w:rPr>
              <w:t>Benchmark manifest and labeled queries</w:t>
            </w:r>
          </w:p>
        </w:tc>
      </w:tr>
    </w:tbl>
    <w:p>
      <w:pPr>
        <w:spacing w:after="20"/>
      </w:pPr>
    </w:p>
    <w:p>
      <w:pPr>
        <w:pStyle w:val="Heading2"/>
      </w:pPr>
      <w:r>
        <w:t>Definition of ready</w:t>
      </w:r>
    </w:p>
    <w:p>
      <w:pPr>
        <w:pStyle w:val="ListBullet"/>
      </w:pPr>
      <w:r>
        <w:rPr>
          <w:rFonts w:ascii="Calibri" w:hAnsi="Calibri"/>
          <w:color w:val="243B53"/>
        </w:rPr>
        <w:t>Every teammate can explain why same dimension does not imply same vector space.</w:t>
      </w:r>
    </w:p>
    <w:p>
      <w:pPr>
        <w:pStyle w:val="ListBullet"/>
      </w:pPr>
      <w:r>
        <w:rPr>
          <w:rFonts w:ascii="Calibri" w:hAnsi="Calibri"/>
          <w:color w:val="243B53"/>
        </w:rPr>
        <w:t>The team can calculate or interpret cosine similarity for a toy example.</w:t>
      </w:r>
    </w:p>
    <w:p>
      <w:pPr>
        <w:pStyle w:val="ListBullet"/>
      </w:pPr>
      <w:r>
        <w:rPr>
          <w:rFonts w:ascii="Calibri" w:hAnsi="Calibri"/>
          <w:color w:val="243B53"/>
        </w:rPr>
        <w:t>Everyone agrees on the four states: sources, chunks/objects, vector-store state, and model configuration.</w:t>
      </w:r>
    </w:p>
    <w:p>
      <w:pPr>
        <w:pStyle w:val="ListBullet"/>
      </w:pPr>
      <w:r>
        <w:rPr>
          <w:rFonts w:ascii="Calibri" w:hAnsi="Calibri"/>
          <w:color w:val="243B53"/>
        </w:rPr>
        <w:t>The model revision and chunking/preprocessing configuration are pinned.</w:t>
      </w:r>
    </w:p>
    <w:p>
      <w:pPr>
        <w:pStyle w:val="ListBullet"/>
      </w:pPr>
      <w:r>
        <w:rPr>
          <w:rFonts w:ascii="Calibri" w:hAnsi="Calibri"/>
          <w:color w:val="243B53"/>
        </w:rPr>
        <w:t>Object, commit, and configuration schemas are reviewed before implementation.</w:t>
      </w:r>
    </w:p>
    <w:p>
      <w:pPr>
        <w:pStyle w:val="ListBullet"/>
      </w:pPr>
      <w:r>
        <w:rPr>
          <w:rFonts w:ascii="Calibri" w:hAnsi="Calibri"/>
          <w:color w:val="243B53"/>
        </w:rPr>
        <w:t>A small golden test corpus and labeled query set exist.</w:t>
      </w:r>
    </w:p>
    <w:p>
      <w:pPr>
        <w:pStyle w:val="ListBullet"/>
      </w:pPr>
      <w:r>
        <w:rPr>
          <w:rFonts w:ascii="Calibri" w:hAnsi="Calibri"/>
          <w:color w:val="243B53"/>
        </w:rPr>
        <w:t>Baseline commands and expected final-state checks are written down.</w:t>
      </w:r>
    </w:p>
    <w:p>
      <w:pPr>
        <w:keepLines/>
        <w:spacing w:before="100" w:after="180"/>
        <w:ind w:left="202" w:right="115"/>
        <w:shd w:fill="E7F8F7"/>
        <w:pBdr>
          <w:left w:val="single" w:sz="20" w:space="8" w:color="0EA5A8"/>
        </w:pBdr>
      </w:pPr>
      <w:r>
        <w:rPr>
          <w:rFonts w:ascii="Calibri" w:hAnsi="Calibri"/>
          <w:b/>
          <w:color w:val="0EA5A8"/>
          <w:sz w:val="20"/>
        </w:rPr>
        <w:t xml:space="preserve">Recommended first milestone  </w:t>
      </w:r>
      <w:r>
        <w:rPr>
          <w:rFonts w:ascii="Calibri" w:hAnsi="Calibri"/>
          <w:color w:val="243B53"/>
          <w:sz w:val="20"/>
        </w:rPr>
        <w:t>Build a vertical slice for 3-5 text files: init -&gt; add -&gt; status -&gt; embed -&gt; commit -&gt; search -&gt; modify one paragraph -&gt; incremental commit -&gt; diff -&gt; checkout.</w:t>
      </w:r>
    </w:p>
    <w:p>
      <w:r>
        <w:br w:type="page"/>
      </w:r>
    </w:p>
    <w:p>
      <w:pPr>
        <w:pStyle w:val="Heading1"/>
      </w:pPr>
      <w:r>
        <w:t>11. Quick-reference glossary</w:t>
      </w:r>
    </w:p>
    <w:tbl>
      <w:tblPr>
        <w:tblStyle w:val="TableGrid"/>
        <w:tblW w:type="dxa" w:w="9360"/>
        <w:tblLayout w:type="fixed"/>
        <w:tblLook w:firstColumn="1" w:firstRow="1" w:lastColumn="0" w:lastRow="0" w:noHBand="0" w:noVBand="1" w:val="04A0"/>
        <w:jc w:val="left"/>
        <w:tblInd w:w="120" w:type="dxa"/>
      </w:tblPr>
      <w:tblGrid>
        <w:gridCol w:w="2200"/>
        <w:gridCol w:w="7160"/>
      </w:tblGrid>
      <w:tr>
        <w:trPr>
          <w:cantSplit/>
          <w:tblHeader w:val="true"/>
          <w:cantSplit/>
        </w:trPr>
        <w:tc>
          <w:tcPr>
            <w:tcW w:type="dxa" w:w="2200"/>
            <w:tcMar>
              <w:top w:w="100" w:type="dxa"/>
              <w:start w:w="120" w:type="dxa"/>
              <w:bottom w:w="100" w:type="dxa"/>
              <w:end w:w="120" w:type="dxa"/>
            </w:tcMar>
            <w:vAlign w:val="center"/>
            <w:shd w:fill="102A43"/>
          </w:tcPr>
          <w:p>
            <w:pPr>
              <w:spacing w:after="0"/>
            </w:pPr>
            <w:r>
              <w:rPr>
                <w:rFonts w:ascii="Calibri" w:hAnsi="Calibri"/>
                <w:b/>
                <w:color w:val="FFFFFF"/>
                <w:sz w:val="18"/>
              </w:rPr>
              <w:t>Term</w:t>
            </w:r>
          </w:p>
        </w:tc>
        <w:tc>
          <w:tcPr>
            <w:tcW w:type="dxa" w:w="7160"/>
            <w:tcMar>
              <w:top w:w="100" w:type="dxa"/>
              <w:start w:w="120" w:type="dxa"/>
              <w:bottom w:w="100" w:type="dxa"/>
              <w:end w:w="120" w:type="dxa"/>
            </w:tcMar>
            <w:vAlign w:val="center"/>
            <w:shd w:fill="102A43"/>
          </w:tcPr>
          <w:p>
            <w:pPr>
              <w:spacing w:after="0"/>
            </w:pPr>
            <w:r>
              <w:rPr>
                <w:rFonts w:ascii="Calibri" w:hAnsi="Calibri"/>
                <w:b/>
                <w:color w:val="FFFFFF"/>
                <w:sz w:val="18"/>
              </w:rPr>
              <w:t>Plain-language meaning</w:t>
            </w:r>
          </w:p>
        </w:tc>
      </w:tr>
      <w:tr>
        <w:trPr>
          <w:cantSplit/>
        </w:trPr>
        <w:tc>
          <w:tcPr>
            <w:tcW w:type="dxa" w:w="2200"/>
            <w:tcMar>
              <w:top w:w="100" w:type="dxa"/>
              <w:start w:w="120" w:type="dxa"/>
              <w:bottom w:w="100" w:type="dxa"/>
              <w:end w:w="120" w:type="dxa"/>
            </w:tcMar>
            <w:vAlign w:val="center"/>
          </w:tcPr>
          <w:p>
            <w:pPr>
              <w:spacing w:after="0"/>
            </w:pPr>
            <w:r>
              <w:rPr>
                <w:rFonts w:ascii="Calibri" w:hAnsi="Calibri"/>
                <w:color w:val="243B53"/>
                <w:sz w:val="18"/>
              </w:rPr>
              <w:t>Embedding</w:t>
            </w:r>
          </w:p>
        </w:tc>
        <w:tc>
          <w:tcPr>
            <w:tcW w:type="dxa" w:w="7160"/>
            <w:tcMar>
              <w:top w:w="100" w:type="dxa"/>
              <w:start w:w="120" w:type="dxa"/>
              <w:bottom w:w="100" w:type="dxa"/>
              <w:end w:w="120" w:type="dxa"/>
            </w:tcMar>
            <w:vAlign w:val="center"/>
          </w:tcPr>
          <w:p>
            <w:pPr>
              <w:spacing w:after="0"/>
            </w:pPr>
            <w:r>
              <w:rPr>
                <w:rFonts w:ascii="Calibri" w:hAnsi="Calibri"/>
                <w:color w:val="243B53"/>
                <w:sz w:val="18"/>
              </w:rPr>
              <w:t>A learned numerical representation of an item.</w:t>
            </w:r>
          </w:p>
        </w:tc>
      </w:tr>
      <w:tr>
        <w:trPr>
          <w:cantSplit/>
        </w:trPr>
        <w:tc>
          <w:tcPr>
            <w:tcW w:type="dxa" w:w="2200"/>
            <w:shd w:fill="F7FAFC"/>
            <w:tcMar>
              <w:top w:w="100" w:type="dxa"/>
              <w:start w:w="120" w:type="dxa"/>
              <w:bottom w:w="100" w:type="dxa"/>
              <w:end w:w="120" w:type="dxa"/>
            </w:tcMar>
            <w:vAlign w:val="center"/>
          </w:tcPr>
          <w:p>
            <w:pPr>
              <w:spacing w:after="0"/>
            </w:pPr>
            <w:r>
              <w:rPr>
                <w:rFonts w:ascii="Calibri" w:hAnsi="Calibri"/>
                <w:color w:val="243B53"/>
                <w:sz w:val="18"/>
              </w:rPr>
              <w:t>Vector</w:t>
            </w:r>
          </w:p>
        </w:tc>
        <w:tc>
          <w:tcPr>
            <w:tcW w:type="dxa" w:w="7160"/>
            <w:shd w:fill="F7FAFC"/>
            <w:tcMar>
              <w:top w:w="100" w:type="dxa"/>
              <w:start w:w="120" w:type="dxa"/>
              <w:bottom w:w="100" w:type="dxa"/>
              <w:end w:w="120" w:type="dxa"/>
            </w:tcMar>
            <w:vAlign w:val="center"/>
          </w:tcPr>
          <w:p>
            <w:pPr>
              <w:spacing w:after="0"/>
            </w:pPr>
            <w:r>
              <w:rPr>
                <w:rFonts w:ascii="Calibri" w:hAnsi="Calibri"/>
                <w:color w:val="243B53"/>
                <w:sz w:val="18"/>
              </w:rPr>
              <w:t>An ordered list of numbers; the output representation.</w:t>
            </w:r>
          </w:p>
        </w:tc>
      </w:tr>
      <w:tr>
        <w:trPr>
          <w:cantSplit/>
        </w:trPr>
        <w:tc>
          <w:tcPr>
            <w:tcW w:type="dxa" w:w="2200"/>
            <w:tcMar>
              <w:top w:w="100" w:type="dxa"/>
              <w:start w:w="120" w:type="dxa"/>
              <w:bottom w:w="100" w:type="dxa"/>
              <w:end w:w="120" w:type="dxa"/>
            </w:tcMar>
            <w:vAlign w:val="center"/>
          </w:tcPr>
          <w:p>
            <w:pPr>
              <w:spacing w:after="0"/>
            </w:pPr>
            <w:r>
              <w:rPr>
                <w:rFonts w:ascii="Calibri" w:hAnsi="Calibri"/>
                <w:color w:val="243B53"/>
                <w:sz w:val="18"/>
              </w:rPr>
              <w:t>Vector space</w:t>
            </w:r>
          </w:p>
        </w:tc>
        <w:tc>
          <w:tcPr>
            <w:tcW w:type="dxa" w:w="7160"/>
            <w:tcMar>
              <w:top w:w="100" w:type="dxa"/>
              <w:start w:w="120" w:type="dxa"/>
              <w:bottom w:w="100" w:type="dxa"/>
              <w:end w:w="120" w:type="dxa"/>
            </w:tcMar>
            <w:vAlign w:val="center"/>
          </w:tcPr>
          <w:p>
            <w:pPr>
              <w:spacing w:after="0"/>
            </w:pPr>
            <w:r>
              <w:rPr>
                <w:rFonts w:ascii="Calibri" w:hAnsi="Calibri"/>
                <w:color w:val="243B53"/>
                <w:sz w:val="18"/>
              </w:rPr>
              <w:t>The coordinate system in which compatible vectors can be compared.</w:t>
            </w:r>
          </w:p>
        </w:tc>
      </w:tr>
      <w:tr>
        <w:trPr>
          <w:cantSplit/>
        </w:trPr>
        <w:tc>
          <w:tcPr>
            <w:tcW w:type="dxa" w:w="2200"/>
            <w:shd w:fill="F7FAFC"/>
            <w:tcMar>
              <w:top w:w="100" w:type="dxa"/>
              <w:start w:w="120" w:type="dxa"/>
              <w:bottom w:w="100" w:type="dxa"/>
              <w:end w:w="120" w:type="dxa"/>
            </w:tcMar>
            <w:vAlign w:val="center"/>
          </w:tcPr>
          <w:p>
            <w:pPr>
              <w:spacing w:after="0"/>
            </w:pPr>
            <w:r>
              <w:rPr>
                <w:rFonts w:ascii="Calibri" w:hAnsi="Calibri"/>
                <w:color w:val="243B53"/>
                <w:sz w:val="18"/>
              </w:rPr>
              <w:t>Dimension</w:t>
            </w:r>
          </w:p>
        </w:tc>
        <w:tc>
          <w:tcPr>
            <w:tcW w:type="dxa" w:w="7160"/>
            <w:shd w:fill="F7FAFC"/>
            <w:tcMar>
              <w:top w:w="100" w:type="dxa"/>
              <w:start w:w="120" w:type="dxa"/>
              <w:bottom w:w="100" w:type="dxa"/>
              <w:end w:w="120" w:type="dxa"/>
            </w:tcMar>
            <w:vAlign w:val="center"/>
          </w:tcPr>
          <w:p>
            <w:pPr>
              <w:spacing w:after="0"/>
            </w:pPr>
            <w:r>
              <w:rPr>
                <w:rFonts w:ascii="Calibri" w:hAnsi="Calibri"/>
                <w:color w:val="243B53"/>
                <w:sz w:val="18"/>
              </w:rPr>
              <w:t>The number of values in each vector.</w:t>
            </w:r>
          </w:p>
        </w:tc>
      </w:tr>
      <w:tr>
        <w:trPr>
          <w:cantSplit/>
        </w:trPr>
        <w:tc>
          <w:tcPr>
            <w:tcW w:type="dxa" w:w="2200"/>
            <w:tcMar>
              <w:top w:w="100" w:type="dxa"/>
              <w:start w:w="120" w:type="dxa"/>
              <w:bottom w:w="100" w:type="dxa"/>
              <w:end w:w="120" w:type="dxa"/>
            </w:tcMar>
            <w:vAlign w:val="center"/>
          </w:tcPr>
          <w:p>
            <w:pPr>
              <w:spacing w:after="0"/>
            </w:pPr>
            <w:r>
              <w:rPr>
                <w:rFonts w:ascii="Calibri" w:hAnsi="Calibri"/>
                <w:color w:val="243B53"/>
                <w:sz w:val="18"/>
              </w:rPr>
              <w:t>Cosine similarity</w:t>
            </w:r>
          </w:p>
        </w:tc>
        <w:tc>
          <w:tcPr>
            <w:tcW w:type="dxa" w:w="7160"/>
            <w:tcMar>
              <w:top w:w="100" w:type="dxa"/>
              <w:start w:w="120" w:type="dxa"/>
              <w:bottom w:w="100" w:type="dxa"/>
              <w:end w:w="120" w:type="dxa"/>
            </w:tcMar>
            <w:vAlign w:val="center"/>
          </w:tcPr>
          <w:p>
            <w:pPr>
              <w:spacing w:after="0"/>
            </w:pPr>
            <w:r>
              <w:rPr>
                <w:rFonts w:ascii="Calibri" w:hAnsi="Calibri"/>
                <w:color w:val="243B53"/>
                <w:sz w:val="18"/>
              </w:rPr>
              <w:t>A comparison of vector direction, often used for text.</w:t>
            </w:r>
          </w:p>
        </w:tc>
      </w:tr>
      <w:tr>
        <w:trPr>
          <w:cantSplit/>
        </w:trPr>
        <w:tc>
          <w:tcPr>
            <w:tcW w:type="dxa" w:w="2200"/>
            <w:shd w:fill="F7FAFC"/>
            <w:tcMar>
              <w:top w:w="100" w:type="dxa"/>
              <w:start w:w="120" w:type="dxa"/>
              <w:bottom w:w="100" w:type="dxa"/>
              <w:end w:w="120" w:type="dxa"/>
            </w:tcMar>
            <w:vAlign w:val="center"/>
          </w:tcPr>
          <w:p>
            <w:pPr>
              <w:spacing w:after="0"/>
            </w:pPr>
            <w:r>
              <w:rPr>
                <w:rFonts w:ascii="Calibri" w:hAnsi="Calibri"/>
                <w:color w:val="243B53"/>
                <w:sz w:val="18"/>
              </w:rPr>
              <w:t>Nearest neighbour</w:t>
            </w:r>
          </w:p>
        </w:tc>
        <w:tc>
          <w:tcPr>
            <w:tcW w:type="dxa" w:w="7160"/>
            <w:shd w:fill="F7FAFC"/>
            <w:tcMar>
              <w:top w:w="100" w:type="dxa"/>
              <w:start w:w="120" w:type="dxa"/>
              <w:bottom w:w="100" w:type="dxa"/>
              <w:end w:w="120" w:type="dxa"/>
            </w:tcMar>
            <w:vAlign w:val="center"/>
          </w:tcPr>
          <w:p>
            <w:pPr>
              <w:spacing w:after="0"/>
            </w:pPr>
            <w:r>
              <w:rPr>
                <w:rFonts w:ascii="Calibri" w:hAnsi="Calibri"/>
                <w:color w:val="243B53"/>
                <w:sz w:val="18"/>
              </w:rPr>
              <w:t>A stored vector closest to a query under the selected metric.</w:t>
            </w:r>
          </w:p>
        </w:tc>
      </w:tr>
      <w:tr>
        <w:trPr>
          <w:cantSplit/>
        </w:trPr>
        <w:tc>
          <w:tcPr>
            <w:tcW w:type="dxa" w:w="2200"/>
            <w:tcMar>
              <w:top w:w="100" w:type="dxa"/>
              <w:start w:w="120" w:type="dxa"/>
              <w:bottom w:w="100" w:type="dxa"/>
              <w:end w:w="120" w:type="dxa"/>
            </w:tcMar>
            <w:vAlign w:val="center"/>
          </w:tcPr>
          <w:p>
            <w:pPr>
              <w:spacing w:after="0"/>
            </w:pPr>
            <w:r>
              <w:rPr>
                <w:rFonts w:ascii="Calibri" w:hAnsi="Calibri"/>
                <w:color w:val="243B53"/>
                <w:sz w:val="18"/>
              </w:rPr>
              <w:t>Top-k</w:t>
            </w:r>
          </w:p>
        </w:tc>
        <w:tc>
          <w:tcPr>
            <w:tcW w:type="dxa" w:w="7160"/>
            <w:tcMar>
              <w:top w:w="100" w:type="dxa"/>
              <w:start w:w="120" w:type="dxa"/>
              <w:bottom w:w="100" w:type="dxa"/>
              <w:end w:w="120" w:type="dxa"/>
            </w:tcMar>
            <w:vAlign w:val="center"/>
          </w:tcPr>
          <w:p>
            <w:pPr>
              <w:spacing w:after="0"/>
            </w:pPr>
            <w:r>
              <w:rPr>
                <w:rFonts w:ascii="Calibri" w:hAnsi="Calibri"/>
                <w:color w:val="243B53"/>
                <w:sz w:val="18"/>
              </w:rPr>
              <w:t>The k highest-ranked search results.</w:t>
            </w:r>
          </w:p>
        </w:tc>
      </w:tr>
      <w:tr>
        <w:trPr>
          <w:cantSplit/>
        </w:trPr>
        <w:tc>
          <w:tcPr>
            <w:tcW w:type="dxa" w:w="2200"/>
            <w:shd w:fill="F7FAFC"/>
            <w:tcMar>
              <w:top w:w="100" w:type="dxa"/>
              <w:start w:w="120" w:type="dxa"/>
              <w:bottom w:w="100" w:type="dxa"/>
              <w:end w:w="120" w:type="dxa"/>
            </w:tcMar>
            <w:vAlign w:val="center"/>
          </w:tcPr>
          <w:p>
            <w:pPr>
              <w:spacing w:after="0"/>
            </w:pPr>
            <w:r>
              <w:rPr>
                <w:rFonts w:ascii="Calibri" w:hAnsi="Calibri"/>
                <w:color w:val="243B53"/>
                <w:sz w:val="18"/>
              </w:rPr>
              <w:t>Chunk</w:t>
            </w:r>
          </w:p>
        </w:tc>
        <w:tc>
          <w:tcPr>
            <w:tcW w:type="dxa" w:w="7160"/>
            <w:shd w:fill="F7FAFC"/>
            <w:tcMar>
              <w:top w:w="100" w:type="dxa"/>
              <w:start w:w="120" w:type="dxa"/>
              <w:bottom w:w="100" w:type="dxa"/>
              <w:end w:w="120" w:type="dxa"/>
            </w:tcMar>
            <w:vAlign w:val="center"/>
          </w:tcPr>
          <w:p>
            <w:pPr>
              <w:spacing w:after="0"/>
            </w:pPr>
            <w:r>
              <w:rPr>
                <w:rFonts w:ascii="Calibri" w:hAnsi="Calibri"/>
                <w:color w:val="243B53"/>
                <w:sz w:val="18"/>
              </w:rPr>
              <w:t>A deterministic document segment embedded as one unit.</w:t>
            </w:r>
          </w:p>
        </w:tc>
      </w:tr>
      <w:tr>
        <w:trPr>
          <w:cantSplit/>
        </w:trPr>
        <w:tc>
          <w:tcPr>
            <w:tcW w:type="dxa" w:w="2200"/>
            <w:tcMar>
              <w:top w:w="100" w:type="dxa"/>
              <w:start w:w="120" w:type="dxa"/>
              <w:bottom w:w="100" w:type="dxa"/>
              <w:end w:w="120" w:type="dxa"/>
            </w:tcMar>
            <w:vAlign w:val="center"/>
          </w:tcPr>
          <w:p>
            <w:pPr>
              <w:spacing w:after="0"/>
            </w:pPr>
            <w:r>
              <w:rPr>
                <w:rFonts w:ascii="Calibri" w:hAnsi="Calibri"/>
                <w:color w:val="243B53"/>
                <w:sz w:val="18"/>
              </w:rPr>
              <w:t>Tokenizer</w:t>
            </w:r>
          </w:p>
        </w:tc>
        <w:tc>
          <w:tcPr>
            <w:tcW w:type="dxa" w:w="7160"/>
            <w:tcMar>
              <w:top w:w="100" w:type="dxa"/>
              <w:start w:w="120" w:type="dxa"/>
              <w:bottom w:w="100" w:type="dxa"/>
              <w:end w:w="120" w:type="dxa"/>
            </w:tcMar>
            <w:vAlign w:val="center"/>
          </w:tcPr>
          <w:p>
            <w:pPr>
              <w:spacing w:after="0"/>
            </w:pPr>
            <w:r>
              <w:rPr>
                <w:rFonts w:ascii="Calibri" w:hAnsi="Calibri"/>
                <w:color w:val="243B53"/>
                <w:sz w:val="18"/>
              </w:rPr>
              <w:t>The component that turns input text into model token IDs.</w:t>
            </w:r>
          </w:p>
        </w:tc>
      </w:tr>
      <w:tr>
        <w:trPr>
          <w:cantSplit/>
        </w:trPr>
        <w:tc>
          <w:tcPr>
            <w:tcW w:type="dxa" w:w="2200"/>
            <w:shd w:fill="F7FAFC"/>
            <w:tcMar>
              <w:top w:w="100" w:type="dxa"/>
              <w:start w:w="120" w:type="dxa"/>
              <w:bottom w:w="100" w:type="dxa"/>
              <w:end w:w="120" w:type="dxa"/>
            </w:tcMar>
            <w:vAlign w:val="center"/>
          </w:tcPr>
          <w:p>
            <w:pPr>
              <w:spacing w:after="0"/>
            </w:pPr>
            <w:r>
              <w:rPr>
                <w:rFonts w:ascii="Calibri" w:hAnsi="Calibri"/>
                <w:color w:val="243B53"/>
                <w:sz w:val="18"/>
              </w:rPr>
              <w:t>Pooling</w:t>
            </w:r>
          </w:p>
        </w:tc>
        <w:tc>
          <w:tcPr>
            <w:tcW w:type="dxa" w:w="7160"/>
            <w:shd w:fill="F7FAFC"/>
            <w:tcMar>
              <w:top w:w="100" w:type="dxa"/>
              <w:start w:w="120" w:type="dxa"/>
              <w:bottom w:w="100" w:type="dxa"/>
              <w:end w:w="120" w:type="dxa"/>
            </w:tcMar>
            <w:vAlign w:val="center"/>
          </w:tcPr>
          <w:p>
            <w:pPr>
              <w:spacing w:after="0"/>
            </w:pPr>
            <w:r>
              <w:rPr>
                <w:rFonts w:ascii="Calibri" w:hAnsi="Calibri"/>
                <w:color w:val="243B53"/>
                <w:sz w:val="18"/>
              </w:rPr>
              <w:t>The method used to combine model outputs into one vector.</w:t>
            </w:r>
          </w:p>
        </w:tc>
      </w:tr>
      <w:tr>
        <w:trPr>
          <w:cantSplit/>
        </w:trPr>
        <w:tc>
          <w:tcPr>
            <w:tcW w:type="dxa" w:w="2200"/>
            <w:tcMar>
              <w:top w:w="100" w:type="dxa"/>
              <w:start w:w="120" w:type="dxa"/>
              <w:bottom w:w="100" w:type="dxa"/>
              <w:end w:w="120" w:type="dxa"/>
            </w:tcMar>
            <w:vAlign w:val="center"/>
          </w:tcPr>
          <w:p>
            <w:pPr>
              <w:spacing w:after="0"/>
            </w:pPr>
            <w:r>
              <w:rPr>
                <w:rFonts w:ascii="Calibri" w:hAnsi="Calibri"/>
                <w:color w:val="243B53"/>
                <w:sz w:val="18"/>
              </w:rPr>
              <w:t>Normalization</w:t>
            </w:r>
          </w:p>
        </w:tc>
        <w:tc>
          <w:tcPr>
            <w:tcW w:type="dxa" w:w="7160"/>
            <w:tcMar>
              <w:top w:w="100" w:type="dxa"/>
              <w:start w:w="120" w:type="dxa"/>
              <w:bottom w:w="100" w:type="dxa"/>
              <w:end w:w="120" w:type="dxa"/>
            </w:tcMar>
            <w:vAlign w:val="center"/>
          </w:tcPr>
          <w:p>
            <w:pPr>
              <w:spacing w:after="0"/>
            </w:pPr>
            <w:r>
              <w:rPr>
                <w:rFonts w:ascii="Calibri" w:hAnsi="Calibri"/>
                <w:color w:val="243B53"/>
                <w:sz w:val="18"/>
              </w:rPr>
              <w:t>Text cleanup or vector scaling; both must be specified clearly.</w:t>
            </w:r>
          </w:p>
        </w:tc>
      </w:tr>
      <w:tr>
        <w:trPr>
          <w:cantSplit/>
        </w:trPr>
        <w:tc>
          <w:tcPr>
            <w:tcW w:type="dxa" w:w="2200"/>
            <w:shd w:fill="F7FAFC"/>
            <w:tcMar>
              <w:top w:w="100" w:type="dxa"/>
              <w:start w:w="120" w:type="dxa"/>
              <w:bottom w:w="100" w:type="dxa"/>
              <w:end w:w="120" w:type="dxa"/>
            </w:tcMar>
            <w:vAlign w:val="center"/>
          </w:tcPr>
          <w:p>
            <w:pPr>
              <w:spacing w:after="0"/>
            </w:pPr>
            <w:r>
              <w:rPr>
                <w:rFonts w:ascii="Calibri" w:hAnsi="Calibri"/>
                <w:color w:val="243B53"/>
                <w:sz w:val="18"/>
              </w:rPr>
              <w:t>Vector database</w:t>
            </w:r>
          </w:p>
        </w:tc>
        <w:tc>
          <w:tcPr>
            <w:tcW w:type="dxa" w:w="7160"/>
            <w:shd w:fill="F7FAFC"/>
            <w:tcMar>
              <w:top w:w="100" w:type="dxa"/>
              <w:start w:w="120" w:type="dxa"/>
              <w:bottom w:w="100" w:type="dxa"/>
              <w:end w:w="120" w:type="dxa"/>
            </w:tcMar>
            <w:vAlign w:val="center"/>
          </w:tcPr>
          <w:p>
            <w:pPr>
              <w:spacing w:after="0"/>
            </w:pPr>
            <w:r>
              <w:rPr>
                <w:rFonts w:ascii="Calibri" w:hAnsi="Calibri"/>
                <w:color w:val="243B53"/>
                <w:sz w:val="18"/>
              </w:rPr>
              <w:t>A system that stores, filters, indexes, and searches vectors.</w:t>
            </w:r>
          </w:p>
        </w:tc>
      </w:tr>
      <w:tr>
        <w:trPr>
          <w:cantSplit/>
        </w:trPr>
        <w:tc>
          <w:tcPr>
            <w:tcW w:type="dxa" w:w="2200"/>
            <w:tcMar>
              <w:top w:w="100" w:type="dxa"/>
              <w:start w:w="120" w:type="dxa"/>
              <w:bottom w:w="100" w:type="dxa"/>
              <w:end w:w="120" w:type="dxa"/>
            </w:tcMar>
            <w:vAlign w:val="center"/>
          </w:tcPr>
          <w:p>
            <w:pPr>
              <w:spacing w:after="0"/>
            </w:pPr>
            <w:r>
              <w:rPr>
                <w:rFonts w:ascii="Calibri" w:hAnsi="Calibri"/>
                <w:color w:val="243B53"/>
                <w:sz w:val="18"/>
              </w:rPr>
              <w:t>RAG</w:t>
            </w:r>
          </w:p>
        </w:tc>
        <w:tc>
          <w:tcPr>
            <w:tcW w:type="dxa" w:w="7160"/>
            <w:tcMar>
              <w:top w:w="100" w:type="dxa"/>
              <w:start w:w="120" w:type="dxa"/>
              <w:bottom w:w="100" w:type="dxa"/>
              <w:end w:w="120" w:type="dxa"/>
            </w:tcMar>
            <w:vAlign w:val="center"/>
          </w:tcPr>
          <w:p>
            <w:pPr>
              <w:spacing w:after="0"/>
            </w:pPr>
            <w:r>
              <w:rPr>
                <w:rFonts w:ascii="Calibri" w:hAnsi="Calibri"/>
                <w:color w:val="243B53"/>
                <w:sz w:val="18"/>
              </w:rPr>
              <w:t>Retrieval-Augmented Generation: retrieve context, then generate an answer.</w:t>
            </w:r>
          </w:p>
        </w:tc>
      </w:tr>
      <w:tr>
        <w:trPr>
          <w:cantSplit/>
        </w:trPr>
        <w:tc>
          <w:tcPr>
            <w:tcW w:type="dxa" w:w="2200"/>
            <w:shd w:fill="F7FAFC"/>
            <w:tcMar>
              <w:top w:w="100" w:type="dxa"/>
              <w:start w:w="120" w:type="dxa"/>
              <w:bottom w:w="100" w:type="dxa"/>
              <w:end w:w="120" w:type="dxa"/>
            </w:tcMar>
            <w:vAlign w:val="center"/>
          </w:tcPr>
          <w:p>
            <w:pPr>
              <w:spacing w:after="0"/>
            </w:pPr>
            <w:r>
              <w:rPr>
                <w:rFonts w:ascii="Calibri" w:hAnsi="Calibri"/>
                <w:color w:val="243B53"/>
                <w:sz w:val="18"/>
              </w:rPr>
              <w:t>Content-addressable</w:t>
            </w:r>
          </w:p>
        </w:tc>
        <w:tc>
          <w:tcPr>
            <w:tcW w:type="dxa" w:w="7160"/>
            <w:shd w:fill="F7FAFC"/>
            <w:tcMar>
              <w:top w:w="100" w:type="dxa"/>
              <w:start w:w="120" w:type="dxa"/>
              <w:bottom w:w="100" w:type="dxa"/>
              <w:end w:w="120" w:type="dxa"/>
            </w:tcMar>
            <w:vAlign w:val="center"/>
          </w:tcPr>
          <w:p>
            <w:pPr>
              <w:spacing w:after="0"/>
            </w:pPr>
            <w:r>
              <w:rPr>
                <w:rFonts w:ascii="Calibri" w:hAnsi="Calibri"/>
                <w:color w:val="243B53"/>
                <w:sz w:val="18"/>
              </w:rPr>
              <w:t>Identified by a hash of content rather than a mutable name.</w:t>
            </w:r>
          </w:p>
        </w:tc>
      </w:tr>
      <w:tr>
        <w:trPr>
          <w:cantSplit/>
        </w:trPr>
        <w:tc>
          <w:tcPr>
            <w:tcW w:type="dxa" w:w="2200"/>
            <w:tcMar>
              <w:top w:w="100" w:type="dxa"/>
              <w:start w:w="120" w:type="dxa"/>
              <w:bottom w:w="100" w:type="dxa"/>
              <w:end w:w="120" w:type="dxa"/>
            </w:tcMar>
            <w:vAlign w:val="center"/>
          </w:tcPr>
          <w:p>
            <w:pPr>
              <w:spacing w:after="0"/>
            </w:pPr>
            <w:r>
              <w:rPr>
                <w:rFonts w:ascii="Calibri" w:hAnsi="Calibri"/>
                <w:color w:val="243B53"/>
                <w:sz w:val="18"/>
              </w:rPr>
              <w:t>Stale</w:t>
            </w:r>
          </w:p>
        </w:tc>
        <w:tc>
          <w:tcPr>
            <w:tcW w:type="dxa" w:w="7160"/>
            <w:tcMar>
              <w:top w:w="100" w:type="dxa"/>
              <w:start w:w="120" w:type="dxa"/>
              <w:bottom w:w="100" w:type="dxa"/>
              <w:end w:w="120" w:type="dxa"/>
            </w:tcMar>
            <w:vAlign w:val="center"/>
          </w:tcPr>
          <w:p>
            <w:pPr>
              <w:spacing w:after="0"/>
            </w:pPr>
            <w:r>
              <w:rPr>
                <w:rFonts w:ascii="Calibri" w:hAnsi="Calibri"/>
                <w:color w:val="243B53"/>
                <w:sz w:val="18"/>
              </w:rPr>
              <w:t>No longer valid under the current effective configuration.</w:t>
            </w:r>
          </w:p>
        </w:tc>
      </w:tr>
      <w:tr>
        <w:trPr>
          <w:cantSplit/>
        </w:trPr>
        <w:tc>
          <w:tcPr>
            <w:tcW w:type="dxa" w:w="2200"/>
            <w:shd w:fill="F7FAFC"/>
            <w:tcMar>
              <w:top w:w="100" w:type="dxa"/>
              <w:start w:w="120" w:type="dxa"/>
              <w:bottom w:w="100" w:type="dxa"/>
              <w:end w:w="120" w:type="dxa"/>
            </w:tcMar>
            <w:vAlign w:val="center"/>
          </w:tcPr>
          <w:p>
            <w:pPr>
              <w:spacing w:after="0"/>
            </w:pPr>
            <w:r>
              <w:rPr>
                <w:rFonts w:ascii="Calibri" w:hAnsi="Calibri"/>
                <w:color w:val="243B53"/>
                <w:sz w:val="18"/>
              </w:rPr>
              <w:t>Provenance</w:t>
            </w:r>
          </w:p>
        </w:tc>
        <w:tc>
          <w:tcPr>
            <w:tcW w:type="dxa" w:w="7160"/>
            <w:shd w:fill="F7FAFC"/>
            <w:tcMar>
              <w:top w:w="100" w:type="dxa"/>
              <w:start w:w="120" w:type="dxa"/>
              <w:bottom w:w="100" w:type="dxa"/>
              <w:end w:w="120" w:type="dxa"/>
            </w:tcMar>
            <w:vAlign w:val="center"/>
          </w:tcPr>
          <w:p>
            <w:pPr>
              <w:spacing w:after="0"/>
            </w:pPr>
            <w:r>
              <w:rPr>
                <w:rFonts w:ascii="Calibri" w:hAnsi="Calibri"/>
                <w:color w:val="243B53"/>
                <w:sz w:val="18"/>
              </w:rPr>
              <w:t>Evidence describing where data came from and how it was produced.</w:t>
            </w:r>
          </w:p>
        </w:tc>
      </w:tr>
    </w:tbl>
    <w:p>
      <w:pPr>
        <w:spacing w:after="20"/>
      </w:pPr>
    </w:p>
    <w:p>
      <w:pPr>
        <w:pStyle w:val="Heading2"/>
      </w:pPr>
      <w:r>
        <w:t>Knowledge check</w:t>
      </w:r>
    </w:p>
    <w:p>
      <w:pPr>
        <w:pStyle w:val="ListNumber"/>
      </w:pPr>
      <w:r>
        <w:rPr>
          <w:rFonts w:ascii="Calibri" w:hAnsi="Calibri"/>
          <w:color w:val="243B53"/>
        </w:rPr>
        <w:t>Why can two 384-dimensional models still be incompatible?</w:t>
      </w:r>
    </w:p>
    <w:p>
      <w:pPr>
        <w:pStyle w:val="ListNumber"/>
      </w:pPr>
      <w:r>
        <w:rPr>
          <w:rFonts w:ascii="Calibri" w:hAnsi="Calibri"/>
          <w:color w:val="243B53"/>
        </w:rPr>
        <w:t>When may EmbedGit safely reuse an embedding object?</w:t>
      </w:r>
    </w:p>
    <w:p>
      <w:pPr>
        <w:pStyle w:val="ListNumber"/>
      </w:pPr>
      <w:r>
        <w:rPr>
          <w:rFonts w:ascii="Calibri" w:hAnsi="Calibri"/>
          <w:color w:val="243B53"/>
        </w:rPr>
        <w:t>What is the difference between a chunk and an embedding?</w:t>
      </w:r>
    </w:p>
    <w:p>
      <w:pPr>
        <w:pStyle w:val="ListNumber"/>
      </w:pPr>
      <w:r>
        <w:rPr>
          <w:rFonts w:ascii="Calibri" w:hAnsi="Calibri"/>
          <w:color w:val="243B53"/>
        </w:rPr>
        <w:t>Why is ChromaDB not the canonical version history?</w:t>
      </w:r>
    </w:p>
    <w:p>
      <w:pPr>
        <w:pStyle w:val="ListNumber"/>
      </w:pPr>
      <w:r>
        <w:rPr>
          <w:rFonts w:ascii="Calibri" w:hAnsi="Calibri"/>
          <w:color w:val="243B53"/>
        </w:rPr>
        <w:t>What changes when chunk size changes?</w:t>
      </w:r>
    </w:p>
    <w:p>
      <w:pPr>
        <w:pStyle w:val="ListNumber"/>
      </w:pPr>
      <w:r>
        <w:rPr>
          <w:rFonts w:ascii="Calibri" w:hAnsi="Calibri"/>
          <w:color w:val="243B53"/>
        </w:rPr>
        <w:t>Which metrics should compare retrieval quality across commits?</w:t>
      </w:r>
    </w:p>
    <w:p>
      <w:pPr>
        <w:keepLines/>
        <w:spacing w:before="100" w:after="180"/>
        <w:ind w:left="202" w:right="115"/>
        <w:shd w:fill="FFF4E5"/>
        <w:pBdr>
          <w:left w:val="single" w:sz="20" w:space="8" w:color="D97706"/>
        </w:pBdr>
      </w:pPr>
      <w:r>
        <w:rPr>
          <w:rFonts w:ascii="Calibri" w:hAnsi="Calibri"/>
          <w:b/>
          <w:color w:val="D97706"/>
          <w:sz w:val="20"/>
        </w:rPr>
        <w:t xml:space="preserve">Answer checkpoint  </w:t>
      </w:r>
      <w:r>
        <w:rPr>
          <w:rFonts w:ascii="Calibri" w:hAnsi="Calibri"/>
          <w:color w:val="243B53"/>
          <w:sz w:val="20"/>
        </w:rPr>
        <w:t>A teammate is ready to start implementation when they can answer these questions using the terms model configuration, deterministic chunking, immutable object, commit manifest, and retrieval evaluation.</w:t>
      </w:r>
    </w:p>
    <w:p>
      <w:pPr>
        <w:pStyle w:val="Heading2"/>
      </w:pPr>
      <w:r>
        <w:t>Final takeaway</w:t>
      </w:r>
    </w:p>
    <w:p>
      <w:r>
        <w:rPr>
          <w:rFonts w:ascii="Calibri" w:hAnsi="Calibri"/>
          <w:i w:val="0"/>
          <w:color w:val="243B53"/>
        </w:rPr>
        <w:t>Embeddings make meaning computationally comparable. Vector spaces make similarity search possible. Reliable systems must preserve the exact relationship between source content, chunks, model configuration, vectors, and searchable database state. That relationship is the core of EmbedGit.</w:t>
      </w:r>
    </w:p>
    <w:sectPr w:rsidR="00FC693F" w:rsidRPr="0006063C" w:rsidSect="00034616">
      <w:headerReference w:type="default" r:id="rId9"/>
      <w:footerReference w:type="default" r:id="rId10"/>
      <w:pgSz w:w="12240" w:h="15840"/>
      <w:pgMar w:top="1224" w:right="1440" w:bottom="1123" w:left="1440" w:header="605" w:footer="60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4" w:space="2" w:color="BCCCDC"/>
      </w:pBdr>
      <w:jc w:val="right"/>
    </w:pPr>
    <w:r>
      <w:rPr>
        <w:rFonts w:ascii="Calibri" w:hAnsi="Calibri"/>
        <w:color w:val="627D98"/>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5" w:space="2" w:color="BCCCDC"/>
      </w:pBdr>
    </w:pPr>
    <w:r>
      <w:rPr>
        <w:rFonts w:ascii="Calibri" w:hAnsi="Calibri"/>
        <w:b/>
        <w:color w:val="102A43"/>
        <w:sz w:val="16"/>
      </w:rPr>
      <w:t>EMBEDGIT TEAM PRIMER</w:t>
    </w:r>
    <w:r>
      <w:rPr>
        <w:rFonts w:ascii="Calibri" w:hAnsi="Calibri"/>
        <w:color w:val="627D98"/>
        <w:sz w:val="16"/>
      </w:rPr>
      <w:t xml:space="preserve">    |    Embeddings and vector spaces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3" w:lineRule="auto"/>
    </w:pPr>
    <w:rPr>
      <w:rFonts w:ascii="Calibri" w:hAnsi="Calibri"/>
      <w:color w:val="243B5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02A43"/>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363DF"/>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02A4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259" w:right="259"/>
      <w:shd w:fill="F3F6FA"/>
    </w:pPr>
    <w:rPr>
      <w:rFonts w:ascii="Consolas" w:hAnsi="Consolas"/>
      <w:color w:val="243B5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Embeddings and Vector Spaces - Team Primer</dc:title>
  <dc:subject>Beginner onboarding guide for the EmbedGit semester PBL project</dc:subject>
  <dc:creator>EmbedGit Project Team</dc:creator>
  <cp:keywords>embeddings, vector spaces, RAG, vector databases, EmbedGit</cp:keywords>
  <dc:description>generated by python-docx</dc:description>
  <cp:lastModifiedBy/>
  <cp:revision>1</cp:revision>
  <dcterms:created xsi:type="dcterms:W3CDTF">2013-12-23T23:15:00Z</dcterms:created>
  <dcterms:modified xsi:type="dcterms:W3CDTF">2013-12-23T23:15:00Z</dcterms:modified>
  <cp:category/>
</cp:coreProperties>
</file>