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1841"/>
        <w:gridCol w:w="4598"/>
        <w:gridCol w:w="601"/>
        <w:gridCol w:w="2330"/>
      </w:tblGrid>
      <w:tr w:rsidR="001000FC" w:rsidRPr="000C13DE" w:rsidTr="000B2793">
        <w:trPr>
          <w:trHeight w:val="1350"/>
        </w:trPr>
        <w:tc>
          <w:tcPr>
            <w:tcW w:w="5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0C13DE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FHIR target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CC Profile</w:t>
            </w:r>
          </w:p>
        </w:tc>
        <w:tc>
          <w:tcPr>
            <w:tcW w:w="5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Guidance</w:t>
            </w:r>
          </w:p>
        </w:tc>
        <w:tc>
          <w:tcPr>
            <w:tcW w:w="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Status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0B2793" w:rsidRDefault="000B2793" w:rsidP="000B27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Note</w:t>
            </w:r>
          </w:p>
        </w:tc>
      </w:tr>
      <w:tr w:rsidR="001000FC" w:rsidRPr="000C13DE" w:rsidTr="00DA0EF7">
        <w:trPr>
          <w:trHeight w:val="514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AllergyIntolerance.code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ValueSet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&lt;&lt;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373873005 |Pharmaceutical / biologic product |</w:t>
            </w:r>
          </w:p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&lt;&lt;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105590001 | substance |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(extensible)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Cardinality – same as base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Flags – same as base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DataType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– same as base</w:t>
            </w:r>
          </w:p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Description – 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Where there are no known allergies then Include codes from http://snomed.info/sct where concept is-a 716186003 (No known allergy)</w:t>
            </w:r>
          </w:p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For no information available the use text "Information not available" (using HL7 FHIR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nullFlavor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292E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http://hl7.org/fhir/v3/NullFlavor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 "NI" No Information)</w:t>
            </w:r>
          </w:p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Degrade codes ( 196461000000101 | transfer-degraded drug allergy (record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artifact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| &amp; 196471000000108 | transfer-degraded non-drug allergy (record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artifact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 | ) can be used if only a text representation of the allergy is known &amp; precoordinated allergy codes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example 213020009 | egg protein allergy | )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8A5754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Code element changes reflect new ValueSet-</w:t>
            </w:r>
            <w:r w:rsidR="00DA0EF7" w:rsidRPr="00DA0EF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CareConnect-AllergyIntolerance-1 </w:t>
            </w:r>
            <w:r w:rsidR="00DA0EF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  <w:r w:rsidR="00B5417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ADDED</w:t>
            </w:r>
          </w:p>
        </w:tc>
        <w:bookmarkStart w:id="0" w:name="_GoBack"/>
        <w:bookmarkEnd w:id="0"/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B2793">
              <w:rPr>
                <w:rFonts w:ascii="Arial" w:eastAsia="Times New Roman" w:hAnsi="Arial" w:cs="Arial"/>
                <w:color w:val="000000"/>
                <w:lang w:eastAsia="en-GB"/>
              </w:rPr>
              <w:t>dateAsserted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2793"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B2793">
              <w:rPr>
                <w:rFonts w:ascii="Arial" w:eastAsia="Times New Roman" w:hAnsi="Arial" w:cs="Arial"/>
                <w:color w:val="000000"/>
                <w:lang w:eastAsia="en-GB"/>
              </w:rPr>
              <w:t>&lt;none&gt;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P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B2793" w:rsidRDefault="001000FC" w:rsidP="001000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Changed cardinality to 0..1</w:t>
            </w:r>
          </w:p>
        </w:tc>
      </w:tr>
      <w:tr w:rsidR="001000FC" w:rsidRPr="000C13DE" w:rsidTr="00534CB2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AllergyIntolerance.reaction.manifestation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ValuSet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&lt;&lt;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404684003 | clinical finding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(extensible)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Cardinality – same as base</w:t>
            </w:r>
          </w:p>
          <w:p w:rsidR="000B2793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Flags – same as base</w:t>
            </w:r>
          </w:p>
          <w:p w:rsidR="000B2793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DataType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– same as base</w:t>
            </w:r>
          </w:p>
          <w:p w:rsidR="000B2793" w:rsidRPr="000C13DE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Description – 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Where no code is known (but a manifestation needs to be recorded) then populate the Manifestation </w:t>
            </w:r>
            <w:proofErr w:type="spellStart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>CodeableConcept</w:t>
            </w:r>
            <w:proofErr w:type="spellEnd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 with the HL7 FHIR </w:t>
            </w:r>
            <w:proofErr w:type="spellStart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>nullFlavor</w:t>
            </w:r>
            <w:proofErr w:type="spellEnd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(</w:t>
            </w:r>
            <w:hyperlink r:id="rId5" w:history="1">
              <w:r w:rsidRPr="005C0151">
                <w:rPr>
                  <w:rStyle w:val="Hyperlink"/>
                  <w:rFonts w:ascii="Arial" w:eastAsia="Times New Roman" w:hAnsi="Arial" w:cs="Arial"/>
                  <w:lang w:eastAsia="en-GB"/>
                </w:rPr>
                <w:t>http://hl7.org/fhir/v3/NullFlavor</w:t>
              </w:r>
            </w:hyperlink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) </w:t>
            </w:r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"UNC" - "un-encoded" &amp; text of manifestation in </w:t>
            </w:r>
            <w:proofErr w:type="spellStart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>reaction.description</w:t>
            </w:r>
            <w:proofErr w:type="spellEnd"/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Pr="00292EA6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When patient is asked about reaction, but doesn't know the reaction then use HL7 </w:t>
            </w:r>
            <w:proofErr w:type="spellStart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>nullFlavor</w:t>
            </w:r>
            <w:proofErr w:type="spellEnd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 "ASKU" - "asked but unknown"</w:t>
            </w:r>
          </w:p>
          <w:p w:rsidR="000B2793" w:rsidRPr="00292EA6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Pr="000C13DE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When the reaction details cannot be determined/verified, then use the HL7 </w:t>
            </w:r>
            <w:proofErr w:type="spellStart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>nullFlavor</w:t>
            </w:r>
            <w:proofErr w:type="spellEnd"/>
            <w:r w:rsidRPr="00292EA6">
              <w:rPr>
                <w:rFonts w:ascii="Arial" w:eastAsia="Times New Roman" w:hAnsi="Arial" w:cs="Arial"/>
                <w:color w:val="000000"/>
                <w:lang w:eastAsia="en-GB"/>
              </w:rPr>
              <w:t xml:space="preserve"> "NI" - "No Information"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Pr="00292EA6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292EA6" w:rsidRDefault="00534CB2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element changes reflect new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ValueSet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>
              <w:t xml:space="preserve"> </w:t>
            </w:r>
            <w:r w:rsidRPr="00534CB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CareConnect-AllergyReactionManifestation-1</w:t>
            </w:r>
            <w:r w:rsidRPr="00DA0EF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 GUIDANCE ADDED</w:t>
            </w:r>
          </w:p>
        </w:tc>
      </w:tr>
      <w:tr w:rsidR="001000FC" w:rsidRPr="000C13DE" w:rsidTr="00CF02D2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AllergyIntolerance.reaction.description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&lt;none&gt;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CF02D2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AllergyIntolerance.reaction.severity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a Concept map (see below)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292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AllergyIntolerance.verificationStatus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“refuted” &amp; “entered-in-error” not to be used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E510C">
              <w:rPr>
                <w:rFonts w:ascii="Arial" w:eastAsia="Times New Roman" w:hAnsi="Arial" w:cs="Arial"/>
                <w:color w:val="000000"/>
                <w:lang w:eastAsia="en-GB"/>
              </w:rPr>
              <w:t xml:space="preserve">If </w:t>
            </w:r>
            <w:proofErr w:type="spellStart"/>
            <w:r w:rsidRPr="000E510C">
              <w:rPr>
                <w:rFonts w:ascii="Arial" w:eastAsia="Times New Roman" w:hAnsi="Arial" w:cs="Arial"/>
                <w:color w:val="000000"/>
                <w:lang w:eastAsia="en-GB"/>
              </w:rPr>
              <w:t>verificationStatus</w:t>
            </w:r>
            <w:proofErr w:type="spellEnd"/>
            <w:r w:rsidRPr="000E510C">
              <w:rPr>
                <w:rFonts w:ascii="Arial" w:eastAsia="Times New Roman" w:hAnsi="Arial" w:cs="Arial"/>
                <w:color w:val="000000"/>
                <w:lang w:eastAsia="en-GB"/>
              </w:rPr>
              <w:t xml:space="preserve"> is not known, then set to unconfirmed. If ext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r</w:t>
            </w:r>
            <w:r w:rsidRPr="000E510C">
              <w:rPr>
                <w:rFonts w:ascii="Arial" w:eastAsia="Times New Roman" w:hAnsi="Arial" w:cs="Arial"/>
                <w:color w:val="000000"/>
                <w:lang w:eastAsia="en-GB"/>
              </w:rPr>
              <w:t xml:space="preserve">a information about certainty is known, this should </w:t>
            </w:r>
            <w:proofErr w:type="gramStart"/>
            <w:r w:rsidRPr="000E510C">
              <w:rPr>
                <w:rFonts w:ascii="Arial" w:eastAsia="Times New Roman" w:hAnsi="Arial" w:cs="Arial"/>
                <w:color w:val="000000"/>
                <w:lang w:eastAsia="en-GB"/>
              </w:rPr>
              <w:t>reported</w:t>
            </w:r>
            <w:proofErr w:type="gramEnd"/>
            <w:r w:rsidRPr="000E510C">
              <w:rPr>
                <w:rFonts w:ascii="Arial" w:eastAsia="Times New Roman" w:hAnsi="Arial" w:cs="Arial"/>
                <w:color w:val="000000"/>
                <w:lang w:eastAsia="en-GB"/>
              </w:rPr>
              <w:t xml:space="preserve"> as a note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Create concept map as below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0C13D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reaction.note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0C1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9810B0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AllergyIntolerance.type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An absence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AllergyIntollerance.type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implies that it is not known whether the reaction was allergic or intolerance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Default="000B2793" w:rsidP="00E3694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9810B0" w:rsidP="00E3694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updated</w:t>
            </w:r>
          </w:p>
        </w:tc>
      </w:tr>
      <w:tr w:rsidR="001000FC" w:rsidRPr="000C13DE" w:rsidTr="00D13156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AllergyIntolerance.extension.evidence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current CC extension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D13156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D13156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AllergyIntolerance.extension.ProbabilityOfRecurrence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REMOVE THE CURRENT CC EXTENSION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D13156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Removed as not clinically sign. Could be added to text section.</w:t>
            </w: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AllergyIntolerance.onset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[x]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base, other than add a Must Support flag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There should always be a date associated with the allergy. This could either be one of the onset[x] dates, or the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assertedDate</w:t>
            </w:r>
            <w:proofErr w:type="spellEnd"/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E3694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E3694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000FC" w:rsidRPr="000C13DE" w:rsidTr="00ED70E7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c</w:t>
            </w:r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linical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tatus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Care should be taken when sending non-active (inactive or resolved) allergies. It is suggested that inactive or resolved allergies are contained within a List resource (see </w:t>
            </w:r>
            <w:hyperlink r:id="rId6" w:anchor="contained" w:history="1">
              <w:r w:rsidRPr="004421C2">
                <w:rPr>
                  <w:rStyle w:val="Hyperlink"/>
                  <w:rFonts w:ascii="Arial" w:eastAsia="Times New Roman" w:hAnsi="Arial" w:cs="Arial"/>
                  <w:lang w:eastAsia="en-GB"/>
                </w:rPr>
                <w:t>https://www.hl7.org/fhir/references.html#contained</w:t>
              </w:r>
            </w:hyperlink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) unless both parties are certain that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inactive or resolved allergies will be handled correctly.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ED70E7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updated</w:t>
            </w:r>
          </w:p>
        </w:tc>
      </w:tr>
      <w:tr w:rsidR="001000FC" w:rsidRPr="000C13DE" w:rsidTr="00A93185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AllerguIntolerance.Category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A93185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A93185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AllergyIntolerance.Criticality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A93185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A93185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Lastoccurrence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This is the onset date of the last reaction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A93185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updated</w:t>
            </w:r>
          </w:p>
        </w:tc>
      </w:tr>
      <w:tr w:rsidR="001000FC" w:rsidRPr="000C13DE" w:rsidTr="00A62BF1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. note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A62BF1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95776B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reaction.substance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5B3BD4">
              <w:rPr>
                <w:rFonts w:ascii="Arial" w:eastAsia="Times New Roman" w:hAnsi="Arial" w:cs="Arial"/>
                <w:color w:val="000000"/>
                <w:lang w:eastAsia="en-GB"/>
              </w:rPr>
              <w:t>it is recommended not to populate this but to populate the top level causative agent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C37EE0">
              <w:rPr>
                <w:rFonts w:ascii="Arial" w:eastAsia="Times New Roman" w:hAnsi="Arial" w:cs="Arial"/>
                <w:color w:val="000000"/>
                <w:lang w:eastAsia="en-GB"/>
              </w:rPr>
              <w:t>It must be clinically safe to only process the 'code' and ignore the '</w:t>
            </w:r>
            <w:proofErr w:type="spellStart"/>
            <w:r w:rsidRPr="00C37EE0">
              <w:rPr>
                <w:rFonts w:ascii="Arial" w:eastAsia="Times New Roman" w:hAnsi="Arial" w:cs="Arial"/>
                <w:color w:val="000000"/>
                <w:lang w:eastAsia="en-GB"/>
              </w:rPr>
              <w:t>reaction.substance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’. See FHIR rules </w:t>
            </w:r>
            <w:hyperlink r:id="rId7" w:anchor="AllergyIntolerance.reaction.substance" w:history="1">
              <w:r w:rsidRPr="004421C2">
                <w:rPr>
                  <w:rStyle w:val="Hyperlink"/>
                  <w:rFonts w:ascii="Arial" w:eastAsia="Times New Roman" w:hAnsi="Arial" w:cs="Arial"/>
                  <w:lang w:eastAsia="en-GB"/>
                </w:rPr>
                <w:t>http://hl7.org/fhir/stu3/allergyintolerance-definitions.html#AllergyIntolerance.reaction.substance</w:t>
              </w:r>
            </w:hyperlink>
          </w:p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Coding of the specific substance (or pharmaceutical product) with a terminology capable of triggering decision support should be used wherever possible. The 'code' element allows for the use of a specific substance or pharmaceutical product, or a group or class of substances. In the case of an allergy or intolerance to a class of substances, (for example, "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penicillins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"), the '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reaction.substance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' element could be used to code the specific substance that was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identifed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as having caused the reaction (for example, "amoxycillin"). Duplication of the value in the 'code' and '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reaction.substance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' elements is acceptable when a specific substance has been recorded in 'code</w:t>
            </w: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</w:tcPr>
          <w:p w:rsidR="000B2793" w:rsidRPr="005B3BD4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5B3BD4" w:rsidRDefault="0095776B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updated</w:t>
            </w:r>
          </w:p>
        </w:tc>
      </w:tr>
      <w:tr w:rsidR="001000FC" w:rsidRPr="000C13DE" w:rsidTr="0095776B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reaction.onset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95776B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What is change?</w:t>
            </w: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exposureroute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ValueSet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as per the SNOMED expression</w:t>
            </w:r>
          </w:p>
          <w:p w:rsidR="000B2793" w:rsidRDefault="000B2793" w:rsidP="00E3694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^999000051000001100 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ePrescribing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route of administration simple reference set|</w:t>
            </w:r>
          </w:p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(extensible)</w:t>
            </w:r>
          </w:p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  <w:p w:rsidR="000B2793" w:rsidRDefault="000B2793" w:rsidP="00F02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Cardinality – same as base</w:t>
            </w:r>
          </w:p>
          <w:p w:rsidR="000B2793" w:rsidRDefault="000B2793" w:rsidP="00F02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Flags – same as base</w:t>
            </w:r>
          </w:p>
          <w:p w:rsidR="000B2793" w:rsidRDefault="000B2793" w:rsidP="00F02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DataType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– same as base</w:t>
            </w:r>
          </w:p>
          <w:p w:rsidR="000B2793" w:rsidRDefault="000B2793" w:rsidP="00F02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Description – same as base</w:t>
            </w:r>
          </w:p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AllergyIntolerance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reaction.note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base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>Ccare.encounter</w:t>
            </w:r>
            <w:proofErr w:type="spellEnd"/>
            <w:r w:rsidRPr="000C13DE">
              <w:rPr>
                <w:rFonts w:ascii="Arial" w:eastAsia="Times New Roman" w:hAnsi="Arial" w:cs="Arial"/>
                <w:color w:val="000000"/>
                <w:lang w:eastAsia="en-GB"/>
              </w:rPr>
              <w:t xml:space="preserve"> extension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Same as current CC Allergies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CC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extension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943EE">
              <w:rPr>
                <w:rFonts w:ascii="Arial" w:eastAsia="Times New Roman" w:hAnsi="Arial" w:cs="Arial"/>
                <w:color w:val="000000"/>
                <w:lang w:eastAsia="en-GB"/>
              </w:rPr>
              <w:t>Same as current CC Allergies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CC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allergyCertainty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extension</w:t>
            </w: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REMOVE  extension (replaced by verification status &amp; cross map)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CC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allergySeverity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exyension</w:t>
            </w:r>
            <w:proofErr w:type="spellEnd"/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REMOVE as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 xml:space="preserve">replaced by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reaction.severity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&amp; concept map</w:t>
            </w: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  <w:tr w:rsidR="001000FC" w:rsidRPr="000C13DE" w:rsidTr="000B2793">
        <w:trPr>
          <w:trHeight w:val="315"/>
        </w:trPr>
        <w:tc>
          <w:tcPr>
            <w:tcW w:w="5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1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52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3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0B2793" w:rsidRPr="000C13DE" w:rsidRDefault="000B2793" w:rsidP="00E369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</w:tr>
    </w:tbl>
    <w:p w:rsidR="00230D71" w:rsidRDefault="00230D71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2EA6" w:rsidRDefault="00292EA6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2EA6" w:rsidRDefault="00292EA6" w:rsidP="00DC46F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Severity Concept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92EA6" w:rsidRPr="000E510C" w:rsidTr="00292EA6">
        <w:tc>
          <w:tcPr>
            <w:tcW w:w="4649" w:type="dxa"/>
          </w:tcPr>
          <w:p w:rsidR="00292EA6" w:rsidRPr="000E510C" w:rsidRDefault="00292EA6" w:rsidP="00DC46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10C">
              <w:rPr>
                <w:rFonts w:ascii="Arial" w:hAnsi="Arial" w:cs="Arial"/>
                <w:b/>
                <w:sz w:val="24"/>
                <w:szCs w:val="24"/>
              </w:rPr>
              <w:t>HL7</w:t>
            </w:r>
          </w:p>
        </w:tc>
        <w:tc>
          <w:tcPr>
            <w:tcW w:w="4649" w:type="dxa"/>
          </w:tcPr>
          <w:p w:rsidR="00292EA6" w:rsidRPr="000E510C" w:rsidRDefault="00292EA6" w:rsidP="00DC46F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50" w:type="dxa"/>
          </w:tcPr>
          <w:p w:rsidR="00292EA6" w:rsidRPr="000E510C" w:rsidRDefault="00292EA6" w:rsidP="00DC46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10C">
              <w:rPr>
                <w:rFonts w:ascii="Arial" w:hAnsi="Arial" w:cs="Arial"/>
                <w:b/>
                <w:sz w:val="24"/>
                <w:szCs w:val="24"/>
              </w:rPr>
              <w:t>SNOMED</w:t>
            </w:r>
          </w:p>
        </w:tc>
      </w:tr>
      <w:tr w:rsidR="00292EA6" w:rsidTr="00292EA6"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Mild</w:t>
            </w:r>
          </w:p>
        </w:tc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Mild [The reaction was mild.][SNOMED-CT::255604002] (Mild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qualifiervalue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))</w:t>
            </w:r>
          </w:p>
        </w:tc>
        <w:tc>
          <w:tcPr>
            <w:tcW w:w="4650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Mild (maps to mild)</w:t>
            </w:r>
          </w:p>
        </w:tc>
      </w:tr>
      <w:tr w:rsidR="00292EA6" w:rsidTr="00292EA6"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</w:t>
            </w:r>
          </w:p>
        </w:tc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Moderate [The reaction was moderate.][SNOMED-CT::6736007] (Moderate (severity modifier) (qualifier value))</w:t>
            </w:r>
          </w:p>
        </w:tc>
        <w:tc>
          <w:tcPr>
            <w:tcW w:w="4650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Moderate (maps to moderate)</w:t>
            </w:r>
          </w:p>
        </w:tc>
      </w:tr>
      <w:tr w:rsidR="00292EA6" w:rsidTr="00292EA6"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Severe</w:t>
            </w:r>
          </w:p>
        </w:tc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Severe [The reaction was severe.][SNOMED-CT::24484000] (Severe (severity modifier) (qualifier value))</w:t>
            </w:r>
          </w:p>
        </w:tc>
        <w:tc>
          <w:tcPr>
            <w:tcW w:w="4650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 (maps to severe)</w:t>
            </w:r>
          </w:p>
        </w:tc>
      </w:tr>
      <w:tr w:rsidR="00292EA6" w:rsidTr="00292EA6"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Life threatening [The reaction was life-threatening.][SNOMED-CT::442452003] (Life threatening severity (qualifier value))</w:t>
            </w:r>
          </w:p>
        </w:tc>
        <w:tc>
          <w:tcPr>
            <w:tcW w:w="4650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Life threatening (maps to severe)</w:t>
            </w:r>
          </w:p>
        </w:tc>
      </w:tr>
      <w:tr w:rsidR="00292EA6" w:rsidTr="00292EA6"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Fatal [The reaction was fatal.][SNOMED-CT::399166001] (Fatal (qualifier value))</w:t>
            </w:r>
          </w:p>
        </w:tc>
        <w:tc>
          <w:tcPr>
            <w:tcW w:w="4650" w:type="dxa"/>
          </w:tcPr>
          <w:p w:rsidR="00292EA6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&lt;no match&gt;</w:t>
            </w:r>
          </w:p>
        </w:tc>
      </w:tr>
      <w:tr w:rsidR="00292EA6" w:rsidTr="00292EA6"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0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EA6" w:rsidTr="00292EA6"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0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EA6" w:rsidTr="00292EA6"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0" w:type="dxa"/>
          </w:tcPr>
          <w:p w:rsidR="00292EA6" w:rsidRDefault="00292EA6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2EA6" w:rsidRDefault="00292EA6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510C" w:rsidRDefault="000E510C" w:rsidP="00DC46F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0C13DE">
        <w:rPr>
          <w:rFonts w:ascii="Arial" w:eastAsia="Times New Roman" w:hAnsi="Arial" w:cs="Arial"/>
          <w:color w:val="000000"/>
          <w:lang w:eastAsia="en-GB"/>
        </w:rPr>
        <w:t>verificationStatus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0E510C" w:rsidRPr="000E510C" w:rsidTr="000E510C">
        <w:tc>
          <w:tcPr>
            <w:tcW w:w="4649" w:type="dxa"/>
          </w:tcPr>
          <w:p w:rsidR="000E510C" w:rsidRPr="000E510C" w:rsidRDefault="000E510C" w:rsidP="00DC46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10C">
              <w:rPr>
                <w:rFonts w:ascii="Arial" w:hAnsi="Arial" w:cs="Arial"/>
                <w:b/>
                <w:sz w:val="24"/>
                <w:szCs w:val="24"/>
              </w:rPr>
              <w:t>HL7</w:t>
            </w:r>
          </w:p>
        </w:tc>
        <w:tc>
          <w:tcPr>
            <w:tcW w:w="4649" w:type="dxa"/>
          </w:tcPr>
          <w:p w:rsidR="000E510C" w:rsidRPr="000E510C" w:rsidRDefault="000E510C" w:rsidP="00DC46F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50" w:type="dxa"/>
          </w:tcPr>
          <w:p w:rsidR="000E510C" w:rsidRPr="000E510C" w:rsidRDefault="000E510C" w:rsidP="00DC46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E510C">
              <w:rPr>
                <w:rFonts w:ascii="Arial" w:hAnsi="Arial" w:cs="Arial"/>
                <w:b/>
                <w:sz w:val="24"/>
                <w:szCs w:val="24"/>
              </w:rPr>
              <w:t>SNOMED</w:t>
            </w:r>
          </w:p>
        </w:tc>
      </w:tr>
      <w:tr w:rsidR="000E510C" w:rsidTr="000E510C"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 w:rsidRPr="000E510C">
              <w:rPr>
                <w:rFonts w:ascii="Arial" w:hAnsi="Arial" w:cs="Arial"/>
                <w:sz w:val="24"/>
                <w:szCs w:val="24"/>
              </w:rPr>
              <w:t xml:space="preserve">unconfirmed </w:t>
            </w:r>
          </w:p>
        </w:tc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• Unlikely [The reaction is thought unlikely to have been caused by the agent.]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[SNOMED-CT::1491118016]</w:t>
            </w:r>
          </w:p>
        </w:tc>
        <w:tc>
          <w:tcPr>
            <w:tcW w:w="4650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Unlikely (map to unconfirmed)</w:t>
            </w:r>
          </w:p>
        </w:tc>
      </w:tr>
      <w:tr w:rsidR="000E510C" w:rsidTr="000E510C"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• Likely [The reaction is thought likely to have been caused by the agent.]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[SNOMED-CT::5961011]</w:t>
            </w:r>
          </w:p>
        </w:tc>
        <w:tc>
          <w:tcPr>
            <w:tcW w:w="4650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Likely (map to unconfirmed)</w:t>
            </w:r>
          </w:p>
        </w:tc>
      </w:tr>
      <w:tr w:rsidR="000E510C" w:rsidTr="000E510C"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 w:rsidRPr="000E510C">
              <w:rPr>
                <w:rFonts w:ascii="Arial" w:hAnsi="Arial" w:cs="Arial"/>
                <w:sz w:val="24"/>
                <w:szCs w:val="24"/>
              </w:rPr>
              <w:t>confirmed</w:t>
            </w:r>
          </w:p>
        </w:tc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• Certain [The agent is thought to be certain to have caused the reaction but this has not been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confirmed by challenge testing.]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[SNOMED-CT::255545003] (Definite (qualifier value))</w:t>
            </w:r>
          </w:p>
        </w:tc>
        <w:tc>
          <w:tcPr>
            <w:tcW w:w="4650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Certain (map to confirmed)</w:t>
            </w:r>
          </w:p>
        </w:tc>
      </w:tr>
      <w:tr w:rsidR="000E510C" w:rsidTr="000E510C"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• Confirmed by challenge testing [The reaction to the agent has been confirmed by challenge testing or other concrete evidence.]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[SNOMED-CT::410605003] (Confirmed present (qualifier value))</w:t>
            </w:r>
          </w:p>
        </w:tc>
        <w:tc>
          <w:tcPr>
            <w:tcW w:w="4650" w:type="dxa"/>
          </w:tcPr>
          <w:p w:rsidR="000E510C" w:rsidRDefault="000E510C" w:rsidP="00DC46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Confirmed by challenge testing (map to confirmed)</w:t>
            </w:r>
          </w:p>
        </w:tc>
      </w:tr>
      <w:tr w:rsidR="000E510C" w:rsidTr="000E510C">
        <w:tc>
          <w:tcPr>
            <w:tcW w:w="4649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  <w:r w:rsidRPr="000E510C">
              <w:rPr>
                <w:rFonts w:ascii="Arial" w:hAnsi="Arial" w:cs="Arial"/>
                <w:sz w:val="24"/>
                <w:szCs w:val="24"/>
              </w:rPr>
              <w:t xml:space="preserve">refuted </w:t>
            </w:r>
          </w:p>
        </w:tc>
        <w:tc>
          <w:tcPr>
            <w:tcW w:w="4649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map</w:t>
            </w:r>
          </w:p>
        </w:tc>
        <w:tc>
          <w:tcPr>
            <w:tcW w:w="4650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10C" w:rsidTr="000E510C">
        <w:tc>
          <w:tcPr>
            <w:tcW w:w="4649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  <w:r w:rsidRPr="000E510C">
              <w:rPr>
                <w:rFonts w:ascii="Arial" w:hAnsi="Arial" w:cs="Arial"/>
                <w:sz w:val="24"/>
                <w:szCs w:val="24"/>
              </w:rPr>
              <w:t>entered-in-error</w:t>
            </w:r>
          </w:p>
        </w:tc>
        <w:tc>
          <w:tcPr>
            <w:tcW w:w="4649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map</w:t>
            </w:r>
          </w:p>
        </w:tc>
        <w:tc>
          <w:tcPr>
            <w:tcW w:w="4650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510C" w:rsidTr="000E510C">
        <w:tc>
          <w:tcPr>
            <w:tcW w:w="4649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49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0" w:type="dxa"/>
          </w:tcPr>
          <w:p w:rsidR="000E510C" w:rsidRDefault="000E510C" w:rsidP="000E51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E510C" w:rsidRPr="00DC46F5" w:rsidRDefault="000E510C" w:rsidP="00DC46F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E510C" w:rsidRPr="00DC46F5" w:rsidSect="000C13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DE"/>
    <w:rsid w:val="00033207"/>
    <w:rsid w:val="000943EE"/>
    <w:rsid w:val="000B2793"/>
    <w:rsid w:val="000C13DE"/>
    <w:rsid w:val="000E510C"/>
    <w:rsid w:val="000E5234"/>
    <w:rsid w:val="001000FC"/>
    <w:rsid w:val="00230D71"/>
    <w:rsid w:val="002761A9"/>
    <w:rsid w:val="00292EA6"/>
    <w:rsid w:val="002B59A7"/>
    <w:rsid w:val="00343693"/>
    <w:rsid w:val="003857B8"/>
    <w:rsid w:val="004926BB"/>
    <w:rsid w:val="004E56B0"/>
    <w:rsid w:val="00525FB9"/>
    <w:rsid w:val="00534CB2"/>
    <w:rsid w:val="00535750"/>
    <w:rsid w:val="005B3BD4"/>
    <w:rsid w:val="005C35E3"/>
    <w:rsid w:val="005F35AD"/>
    <w:rsid w:val="006738FD"/>
    <w:rsid w:val="006F782D"/>
    <w:rsid w:val="00775E78"/>
    <w:rsid w:val="007A51FC"/>
    <w:rsid w:val="007D337B"/>
    <w:rsid w:val="007D3F96"/>
    <w:rsid w:val="00865F79"/>
    <w:rsid w:val="008A5754"/>
    <w:rsid w:val="008C5E41"/>
    <w:rsid w:val="0093787C"/>
    <w:rsid w:val="0095776B"/>
    <w:rsid w:val="009810B0"/>
    <w:rsid w:val="009D44A3"/>
    <w:rsid w:val="00A10A4E"/>
    <w:rsid w:val="00A62BF1"/>
    <w:rsid w:val="00A93185"/>
    <w:rsid w:val="00AC1280"/>
    <w:rsid w:val="00AE3E54"/>
    <w:rsid w:val="00B54174"/>
    <w:rsid w:val="00C22B66"/>
    <w:rsid w:val="00C37EE0"/>
    <w:rsid w:val="00C74052"/>
    <w:rsid w:val="00CB7883"/>
    <w:rsid w:val="00CF02D2"/>
    <w:rsid w:val="00D009D5"/>
    <w:rsid w:val="00D13156"/>
    <w:rsid w:val="00D80ADF"/>
    <w:rsid w:val="00DA0EF7"/>
    <w:rsid w:val="00DA1BF9"/>
    <w:rsid w:val="00DC46F5"/>
    <w:rsid w:val="00E2405A"/>
    <w:rsid w:val="00E3694A"/>
    <w:rsid w:val="00ED70E7"/>
    <w:rsid w:val="00F0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92EA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2EA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92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92EA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2EA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92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6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8864">
                      <w:marLeft w:val="0"/>
                      <w:marRight w:val="0"/>
                      <w:marTop w:val="21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684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3014">
                      <w:marLeft w:val="0"/>
                      <w:marRight w:val="0"/>
                      <w:marTop w:val="21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l7.org/fhir/stu3/allergyintolerance-definit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l7.org/fhir/references.html" TargetMode="External"/><Relationship Id="rId5" Type="http://schemas.openxmlformats.org/officeDocument/2006/relationships/hyperlink" Target="http://hl7.org/fhir/v3/NullFlav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Barnet</dc:creator>
  <cp:lastModifiedBy>Simon Knee</cp:lastModifiedBy>
  <cp:revision>36</cp:revision>
  <dcterms:created xsi:type="dcterms:W3CDTF">2018-02-23T12:22:00Z</dcterms:created>
  <dcterms:modified xsi:type="dcterms:W3CDTF">2018-02-23T22:51:00Z</dcterms:modified>
</cp:coreProperties>
</file>