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Bdr>
          <w:bottom w:val="single" w:sz="24" w:space="4" w:color="000000"/>
        </w:pBdr>
      </w:pPr>
      <w:r>
        <w:rPr>
          <w:rFonts w:ascii="Times New Roman" w:hAnsi="Times New Roman"/>
          <w:b/>
          <w:sz w:val="40"/>
        </w:rPr>
        <w:t>PROGRESS REPORT 1: MEDVISION AI — INTELLIGENT RADIOLOGY CLINICAL DECISION SUPPORT PLATFORM</w:t>
      </w:r>
    </w:p>
    <w:p>
      <w:pPr>
        <w:spacing w:after="280"/>
        <w:jc w:val="center"/>
      </w:pPr>
      <w:r>
        <w:rPr>
          <w:rFonts w:ascii="Times New Roman" w:hAnsi="Times New Roman"/>
          <w:i/>
          <w:color w:val="646464"/>
          <w:sz w:val="22"/>
        </w:rPr>
        <w:t>An Explainable Deep Learning System for Chest X-Ray Pathology Screening, Zero-Leakage Benchmarking, and Out-of-Distribution External Validation</w:t>
      </w:r>
    </w:p>
    <w:tbl>
      <w:tblPr>
        <w:tblW w:type="auto" w:w="0"/>
        <w:jc w:val="left"/>
        <w:tblLook w:firstColumn="1" w:firstRow="1" w:lastColumn="0" w:lastRow="0" w:noHBand="0" w:noVBand="1" w:val="04A0"/>
      </w:tblPr>
      <w:tblGrid>
        <w:gridCol w:w="2340"/>
        <w:gridCol w:w="2340"/>
        <w:gridCol w:w="2340"/>
        <w:gridCol w:w="2340"/>
      </w:tblGrid>
      <w:tr>
        <w:tc>
          <w:tcPr>
            <w:tcW w:type="dxa" w:w="2340"/>
            <w:shd w:fill="F0F4F8"/>
            <w:tcMar>
              <w:top w:w="100" w:type="dxa"/>
              <w:bottom w:w="100" w:type="dxa"/>
              <w:left w:w="100" w:type="dxa"/>
              <w:right w:w="100" w:type="dxa"/>
            </w:tcMar>
          </w:tcPr>
          <w:p>
            <w:pPr>
              <w:jc w:val="center"/>
            </w:pPr>
            <w:r>
              <w:rPr>
                <w:rFonts w:ascii="Times New Roman" w:hAnsi="Times New Roman"/>
                <w:b/>
                <w:color w:val="646464"/>
                <w:sz w:val="17"/>
              </w:rPr>
              <w:t>PROJECT TITLE</w:t>
              <w:br/>
            </w:r>
            <w:r>
              <w:rPr>
                <w:rFonts w:ascii="Times New Roman" w:hAnsi="Times New Roman"/>
                <w:b/>
                <w:sz w:val="20"/>
              </w:rPr>
              <w:t>MedVision CDSS Platform</w:t>
            </w:r>
          </w:p>
        </w:tc>
        <w:tc>
          <w:tcPr>
            <w:tcW w:type="dxa" w:w="2340"/>
            <w:shd w:fill="F0F4F8"/>
            <w:tcMar>
              <w:top w:w="100" w:type="dxa"/>
              <w:bottom w:w="100" w:type="dxa"/>
              <w:left w:w="100" w:type="dxa"/>
              <w:right w:w="100" w:type="dxa"/>
            </w:tcMar>
          </w:tcPr>
          <w:p>
            <w:pPr>
              <w:jc w:val="center"/>
            </w:pPr>
            <w:r>
              <w:rPr>
                <w:rFonts w:ascii="Times New Roman" w:hAnsi="Times New Roman"/>
                <w:b/>
                <w:color w:val="646464"/>
                <w:sz w:val="17"/>
              </w:rPr>
              <w:t>AUTHOR / INSTITUTION</w:t>
              <w:br/>
            </w:r>
            <w:r>
              <w:rPr>
                <w:rFonts w:ascii="Times New Roman" w:hAnsi="Times New Roman"/>
                <w:b/>
                <w:sz w:val="20"/>
              </w:rPr>
              <w:t>Graduation Thesis Candidate</w:t>
            </w:r>
          </w:p>
        </w:tc>
        <w:tc>
          <w:tcPr>
            <w:tcW w:type="dxa" w:w="2340"/>
            <w:shd w:fill="F0F4F8"/>
            <w:tcMar>
              <w:top w:w="100" w:type="dxa"/>
              <w:bottom w:w="100" w:type="dxa"/>
              <w:left w:w="100" w:type="dxa"/>
              <w:right w:w="100" w:type="dxa"/>
            </w:tcMar>
          </w:tcPr>
          <w:p>
            <w:pPr>
              <w:jc w:val="center"/>
            </w:pPr>
            <w:r>
              <w:rPr>
                <w:rFonts w:ascii="Times New Roman" w:hAnsi="Times New Roman"/>
                <w:b/>
                <w:color w:val="646464"/>
                <w:sz w:val="17"/>
              </w:rPr>
              <w:t>EXECUTION ENVIRONMENT</w:t>
              <w:br/>
            </w:r>
            <w:r>
              <w:rPr>
                <w:rFonts w:ascii="Times New Roman" w:hAnsi="Times New Roman"/>
                <w:b/>
                <w:sz w:val="20"/>
              </w:rPr>
              <w:t>PyTorch 2.12 + RTX 5050 GPU</w:t>
            </w:r>
          </w:p>
        </w:tc>
        <w:tc>
          <w:tcPr>
            <w:tcW w:type="dxa" w:w="2340"/>
            <w:shd w:fill="F0F4F8"/>
            <w:tcMar>
              <w:top w:w="100" w:type="dxa"/>
              <w:bottom w:w="100" w:type="dxa"/>
              <w:left w:w="100" w:type="dxa"/>
              <w:right w:w="100" w:type="dxa"/>
            </w:tcMar>
          </w:tcPr>
          <w:p>
            <w:pPr>
              <w:jc w:val="center"/>
            </w:pPr>
            <w:r>
              <w:rPr>
                <w:rFonts w:ascii="Times New Roman" w:hAnsi="Times New Roman"/>
                <w:b/>
                <w:color w:val="646464"/>
                <w:sz w:val="17"/>
              </w:rPr>
              <w:t>REPORT PHASE</w:t>
              <w:br/>
            </w:r>
            <w:r>
              <w:rPr>
                <w:rFonts w:ascii="Times New Roman" w:hAnsi="Times New Roman"/>
                <w:b/>
                <w:sz w:val="20"/>
              </w:rPr>
              <w:t>Phase 1 Progress Report</w:t>
            </w:r>
          </w:p>
        </w:tc>
      </w:tr>
    </w:tbl>
    <w:p>
      <w:pPr>
        <w:spacing w:after="240"/>
      </w:pPr>
    </w:p>
    <w:tbl>
      <w:tblPr>
        <w:tblW w:type="auto" w:w="0"/>
        <w:jc w:val="left"/>
        <w:tblLook w:firstColumn="1" w:firstRow="1" w:lastColumn="0" w:lastRow="0" w:noHBand="0" w:noVBand="1" w:val="04A0"/>
      </w:tblPr>
      <w:tblGrid>
        <w:gridCol w:w="9360"/>
      </w:tblGrid>
      <w:tr>
        <w:tc>
          <w:tcPr>
            <w:tcW w:type="dxa" w:w="9360"/>
            <w:shd w:fill="F9F9F9"/>
            <w:tcMar>
              <w:top w:w="140" w:type="dxa"/>
              <w:bottom w:w="140" w:type="dxa"/>
              <w:left w:w="200" w:type="dxa"/>
              <w:right w:w="200" w:type="dxa"/>
            </w:tcMar>
            <w:tcBorders>
              <w:left w:val="single" w:sz="28" w:space="0" w:color="000000"/>
              <w:top w:val="none"/>
              <w:right w:val="none"/>
              <w:bottom w:val="none"/>
            </w:tcBorders>
          </w:tcPr>
          <w:p>
            <w:pPr>
              <w:spacing w:line="276" w:lineRule="auto" w:after="40"/>
              <w:jc w:val="both"/>
            </w:pPr>
            <w:r>
              <w:rPr>
                <w:rFonts w:ascii="Times New Roman" w:hAnsi="Times New Roman"/>
                <w:b/>
                <w:color w:val="000000"/>
                <w:sz w:val="20"/>
              </w:rPr>
              <w:t xml:space="preserve">★ EXECUTIVE PROGRESS SUMMARY: </w:t>
            </w:r>
            <w:r>
              <w:rPr>
                <w:rFonts w:ascii="Times New Roman" w:hAnsi="Times New Roman"/>
                <w:i/>
                <w:color w:val="000000"/>
                <w:sz w:val="20"/>
              </w:rPr>
              <w:t>This Progress Report 1 documents the complete theoretical design, data pipeline hygiene, zero-leakage patient-level partitioning, multi-backbone benchmarking, classical machine learning baseline, Grad-CAM explainability module, interactive 4-tab Streamlit web application, and empirical verification audit for MedVision AI. Across 6,900 deduplicated medical X-ray scans, our deep transfer learning models (ResNet-18, DenseNet-121, EfficientNet-B0) achieved superior internal test performance (Macro AUC &gt; 0.95, Macro F1 &gt; 84%). On a 100% held-out out-of-distribution external test set (Montgomery County, USA), DenseNet-121 demonstrated robust feature retention with an External AUC of 0.8296 ± 0.0613, vastly outperforming traditional handcrafted HOG+SVM features (External AUC 0.6052). All data partitions and evaluation code have passed a 100% automated scientific integrity audit.</w:t>
            </w:r>
          </w:p>
        </w:tc>
      </w:tr>
    </w:tbl>
    <w:p>
      <w:pPr>
        <w:spacing w:after="80"/>
      </w:pPr>
    </w:p>
    <w:p>
      <w:pPr>
        <w:pStyle w:val="Heading1"/>
        <w:keepNext/>
        <w:spacing w:before="360" w:after="160"/>
        <w:pBdr>
          <w:bottom w:val="single" w:sz="16" w:space="4" w:color="000000"/>
        </w:pBdr>
      </w:pPr>
      <w:r>
        <w:rPr>
          <w:rFonts w:ascii="Times New Roman" w:hAnsi="Times New Roman"/>
          <w:b/>
          <w:color w:val="000000"/>
          <w:sz w:val="32"/>
        </w:rPr>
        <w:t>1. Introduction and Clinical Problem Formulation</w:t>
      </w:r>
    </w:p>
    <w:p>
      <w:pPr>
        <w:pStyle w:val="Heading2"/>
        <w:keepNext/>
        <w:spacing w:before="280" w:after="120"/>
      </w:pPr>
      <w:r>
        <w:rPr>
          <w:rFonts w:ascii="Times New Roman" w:hAnsi="Times New Roman"/>
          <w:b/>
          <w:color w:val="000000"/>
          <w:sz w:val="26"/>
        </w:rPr>
        <w:t>1.1 Clinical Background and Healthcare Need</w:t>
      </w:r>
    </w:p>
    <w:p>
      <w:pPr>
        <w:spacing w:line="276" w:lineRule="auto" w:after="120"/>
        <w:jc w:val="both"/>
      </w:pPr>
      <w:r>
        <w:rPr>
          <w:rFonts w:ascii="Times New Roman" w:hAnsi="Times New Roman"/>
          <w:b w:val="0"/>
          <w:i w:val="0"/>
          <w:sz w:val="22"/>
        </w:rPr>
        <w:t>Chest radiography (X-ray) represents the single most frequently requested diagnostic imaging modality worldwide. In primary care clinics, emergency departments, and rural medical centers, rapid interpretation of chest X-rays is critical for detecting life-threatening thoracic diseases, including bacterial pneumonia, viral pneumonia, and pulmonary tuberculosis (TB). However, in many developing regions and underserved community hospitals, the severe shortage of certified radiologists results in delayed diagnoses, treatment bottlenecks, and increased patient mortality (</w:t>
      </w:r>
      <w:r>
        <w:rPr>
          <w:rFonts w:ascii="Times New Roman" w:hAnsi="Times New Roman"/>
          <w:sz w:val="22"/>
          <w:u w:val="single"/>
        </w:rPr>
        <w:t>Wang et al., 2022</w:t>
      </w:r>
      <w:r>
        <w:rPr>
          <w:rFonts w:ascii="Times New Roman" w:hAnsi="Times New Roman"/>
          <w:sz w:val="22"/>
        </w:rPr>
        <w:t>).</w:t>
      </w:r>
    </w:p>
    <w:p>
      <w:pPr>
        <w:spacing w:line="276" w:lineRule="auto" w:after="120"/>
        <w:jc w:val="both"/>
      </w:pPr>
      <w:r>
        <w:rPr>
          <w:rFonts w:ascii="Times New Roman" w:hAnsi="Times New Roman"/>
          <w:b w:val="0"/>
          <w:i w:val="0"/>
          <w:sz w:val="22"/>
        </w:rPr>
        <w:t>Automated Clinical Decision Support Systems (CDSS) powered by deep learning offer a promising solution by triaging chest radiographies, providing rapid preliminary predictions, and alerting attending physicians to urgent abnormal opacities. However, despite high reported nominal accuracies in literature, clinical adoption of medical AI models remains severely constrained by significant methodological flaws.</w:t>
      </w:r>
    </w:p>
    <w:p>
      <w:pPr>
        <w:pStyle w:val="Heading2"/>
        <w:keepNext/>
        <w:spacing w:before="280" w:after="120"/>
      </w:pPr>
      <w:r>
        <w:rPr>
          <w:rFonts w:ascii="Times New Roman" w:hAnsi="Times New Roman"/>
          <w:b/>
          <w:color w:val="000000"/>
          <w:sz w:val="26"/>
        </w:rPr>
        <w:t>1.2 Methodological Gaps in Medical AI Literature</w:t>
      </w:r>
    </w:p>
    <w:p>
      <w:pPr>
        <w:spacing w:line="276" w:lineRule="auto" w:after="120"/>
        <w:jc w:val="both"/>
      </w:pPr>
      <w:r>
        <w:rPr>
          <w:rFonts w:ascii="Times New Roman" w:hAnsi="Times New Roman"/>
          <w:b w:val="0"/>
          <w:i w:val="0"/>
          <w:sz w:val="22"/>
        </w:rPr>
        <w:t>A rigorous survey of recent medical imaging publications reveals three primary flaws that invalidate many published benchmarks:</w:t>
      </w:r>
    </w:p>
    <w:p>
      <w:pPr>
        <w:spacing w:line="276" w:lineRule="auto" w:after="120"/>
        <w:jc w:val="both"/>
      </w:pPr>
      <w:r>
        <w:rPr>
          <w:rFonts w:ascii="Times New Roman" w:hAnsi="Times New Roman"/>
          <w:b w:val="0"/>
          <w:i w:val="0"/>
          <w:sz w:val="22"/>
        </w:rPr>
        <w:t>1. Data Leakage across Splits: Many studies execute random image-level splitting instead of patient-level partitioning. When multiple radiographies from the same patient appear in both training and test sets, deep neural networks memorize patient-specific anatomical signatures rather than pathological features, resulting in artificially inflated test metrics (</w:t>
      </w:r>
      <w:r>
        <w:rPr>
          <w:rFonts w:ascii="Times New Roman" w:hAnsi="Times New Roman"/>
          <w:sz w:val="22"/>
          <w:u w:val="single"/>
        </w:rPr>
        <w:t>Kermany et al., 2018</w:t>
      </w:r>
      <w:r>
        <w:rPr>
          <w:rFonts w:ascii="Times New Roman" w:hAnsi="Times New Roman"/>
          <w:sz w:val="22"/>
        </w:rPr>
        <w:t>).</w:t>
      </w:r>
    </w:p>
    <w:p>
      <w:pPr>
        <w:spacing w:line="276" w:lineRule="auto" w:after="120"/>
        <w:jc w:val="both"/>
      </w:pPr>
      <w:r>
        <w:rPr>
          <w:rFonts w:ascii="Times New Roman" w:hAnsi="Times New Roman"/>
          <w:b w:val="0"/>
          <w:i w:val="0"/>
          <w:sz w:val="22"/>
        </w:rPr>
        <w:t>2. Lack of Out-of-Distribution External Validation: Medical AI models are rarely evaluated on independent, unseen datasets acquired from different hospital sites, scanner manufacturers, or geographic populations. Models trained on single-center data suffer catastrophic performance drops when deployed in real-world clinical environments (</w:t>
      </w:r>
      <w:r>
        <w:rPr>
          <w:rFonts w:ascii="Times New Roman" w:hAnsi="Times New Roman"/>
          <w:sz w:val="22"/>
          <w:u w:val="single"/>
        </w:rPr>
        <w:t>Jaeger et al., 2014</w:t>
      </w:r>
      <w:r>
        <w:rPr>
          <w:rFonts w:ascii="Times New Roman" w:hAnsi="Times New Roman"/>
          <w:sz w:val="22"/>
        </w:rPr>
        <w:t>).</w:t>
      </w:r>
    </w:p>
    <w:p>
      <w:pPr>
        <w:spacing w:line="276" w:lineRule="auto" w:after="120"/>
        <w:jc w:val="both"/>
      </w:pPr>
      <w:r>
        <w:rPr>
          <w:rFonts w:ascii="Times New Roman" w:hAnsi="Times New Roman"/>
          <w:b w:val="0"/>
          <w:i w:val="0"/>
          <w:sz w:val="22"/>
        </w:rPr>
        <w:t>3. Black-Box Decision Making: Traditional classifiers provide isolated probability scores without visual spatial explanations, preventing clinicians from verifying whether the model is attending to actual lung pathologies or confounding background artifacts.</w:t>
      </w:r>
    </w:p>
    <w:p>
      <w:pPr>
        <w:pStyle w:val="Heading2"/>
        <w:keepNext/>
        <w:spacing w:before="280" w:after="120"/>
      </w:pPr>
      <w:r>
        <w:rPr>
          <w:rFonts w:ascii="Times New Roman" w:hAnsi="Times New Roman"/>
          <w:b/>
          <w:color w:val="000000"/>
          <w:sz w:val="26"/>
        </w:rPr>
        <w:t>1.3 Objectives and Core Scope of MedVision AI</w:t>
      </w:r>
    </w:p>
    <w:p>
      <w:pPr>
        <w:spacing w:line="276" w:lineRule="auto" w:after="120"/>
        <w:jc w:val="both"/>
      </w:pPr>
      <w:r>
        <w:rPr>
          <w:rFonts w:ascii="Times New Roman" w:hAnsi="Times New Roman"/>
          <w:b w:val="0"/>
          <w:i w:val="0"/>
          <w:sz w:val="22"/>
        </w:rPr>
        <w:t>To resolve these critical gaps, the MedVision AI platform is built around five core research and engineering objectives:</w:t>
      </w:r>
    </w:p>
    <w:p>
      <w:pPr>
        <w:spacing w:line="276" w:lineRule="auto" w:after="120"/>
        <w:jc w:val="both"/>
      </w:pPr>
      <w:r>
        <w:rPr>
          <w:rFonts w:ascii="Times New Roman" w:hAnsi="Times New Roman"/>
          <w:b w:val="0"/>
          <w:i w:val="0"/>
          <w:sz w:val="22"/>
        </w:rPr>
        <w:t>• Reproducible Multi-Class Pathology Benchmark: Multi-seed evaluation of 4 classes (Normal, Bacterial Pneumonia, Viral Pneumonia, Tuberculosis) across three pre-trained convolutional backbones (ResNet-18, DenseNet-121, EfficientNet-B0).</w:t>
      </w:r>
    </w:p>
    <w:p>
      <w:pPr>
        <w:spacing w:line="276" w:lineRule="auto" w:after="120"/>
        <w:jc w:val="both"/>
      </w:pPr>
      <w:r>
        <w:rPr>
          <w:rFonts w:ascii="Times New Roman" w:hAnsi="Times New Roman"/>
          <w:b w:val="0"/>
          <w:i w:val="0"/>
          <w:sz w:val="22"/>
        </w:rPr>
        <w:t>• Strict Zero-Leakage Patient Partitioning: Executing GroupShuffleSplit on patient IDs with MD5 hash checksum deduplication and automated assertion verification.</w:t>
      </w:r>
    </w:p>
    <w:p>
      <w:pPr>
        <w:spacing w:line="276" w:lineRule="auto" w:after="120"/>
        <w:jc w:val="both"/>
      </w:pPr>
      <w:r>
        <w:rPr>
          <w:rFonts w:ascii="Times New Roman" w:hAnsi="Times New Roman"/>
          <w:b w:val="0"/>
          <w:i w:val="0"/>
          <w:sz w:val="22"/>
        </w:rPr>
        <w:t>• Classical Machine Learning Baseline: Implementing handcrafted HOG feature extraction coupled with Support Vector Machines (SVM) to satisfy theoretical thesis requirements.</w:t>
      </w:r>
    </w:p>
    <w:p>
      <w:pPr>
        <w:spacing w:line="276" w:lineRule="auto" w:after="120"/>
        <w:jc w:val="both"/>
      </w:pPr>
      <w:r>
        <w:rPr>
          <w:rFonts w:ascii="Times New Roman" w:hAnsi="Times New Roman"/>
          <w:b w:val="0"/>
          <w:i w:val="0"/>
          <w:sz w:val="22"/>
        </w:rPr>
        <w:t>• Explainable AI (Grad-CAM): Visualizing spatial attention heatmaps overlaid on target convolutional layers (denseblock4) for pathological verification.</w:t>
      </w:r>
    </w:p>
    <w:p>
      <w:pPr>
        <w:spacing w:line="276" w:lineRule="auto" w:after="120"/>
        <w:jc w:val="both"/>
      </w:pPr>
      <w:r>
        <w:rPr>
          <w:rFonts w:ascii="Times New Roman" w:hAnsi="Times New Roman"/>
          <w:b w:val="0"/>
          <w:i w:val="0"/>
          <w:sz w:val="22"/>
        </w:rPr>
        <w:t>• Production-Grade Interactive Platform: Building a 4-tab Streamlit web application supporting DICOM (.dcm) files, CLAHE contrast filters, Plotly hospital analytics, priority triage banners, and 1-click PDF diagnostic report exports.</w:t>
      </w:r>
    </w:p>
    <w:p>
      <w:pPr>
        <w:pStyle w:val="Heading1"/>
        <w:keepNext/>
        <w:spacing w:before="360" w:after="160"/>
        <w:pBdr>
          <w:bottom w:val="single" w:sz="16" w:space="4" w:color="000000"/>
        </w:pBdr>
      </w:pPr>
      <w:r>
        <w:rPr>
          <w:rFonts w:ascii="Times New Roman" w:hAnsi="Times New Roman"/>
          <w:b/>
          <w:color w:val="000000"/>
          <w:sz w:val="32"/>
        </w:rPr>
        <w:t>2. Theoretical and Algorithmic Foundation</w:t>
      </w:r>
    </w:p>
    <w:p>
      <w:pPr>
        <w:pStyle w:val="Heading2"/>
        <w:keepNext/>
        <w:spacing w:before="280" w:after="120"/>
      </w:pPr>
      <w:r>
        <w:rPr>
          <w:rFonts w:ascii="Times New Roman" w:hAnsi="Times New Roman"/>
          <w:b/>
          <w:color w:val="000000"/>
          <w:sz w:val="26"/>
        </w:rPr>
        <w:t>2.1 Convolutional Neural Networks and Transfer Learning</w:t>
      </w:r>
    </w:p>
    <w:p>
      <w:pPr>
        <w:spacing w:line="276" w:lineRule="auto" w:after="120"/>
        <w:jc w:val="both"/>
      </w:pPr>
      <w:r>
        <w:rPr>
          <w:rFonts w:ascii="Times New Roman" w:hAnsi="Times New Roman"/>
          <w:b w:val="0"/>
          <w:i w:val="0"/>
          <w:sz w:val="22"/>
        </w:rPr>
        <w:t>Deep Convolutional Neural Networks (CNNs) construct hierarchical spatial feature representations directly from raw pixel intensity matrices. Given an input radiography tensor X in R^(C x H x W), a spatial convolution operation with kernel K in R^(C x k_h x k_w) is defined mathematically as:</w:t>
      </w:r>
    </w:p>
    <w:tbl>
      <w:tblPr>
        <w:tblW w:type="auto" w:w="0"/>
        <w:jc w:val="left"/>
        <w:tblLook w:firstColumn="1" w:firstRow="1" w:lastColumn="0" w:lastRow="0" w:noHBand="0" w:noVBand="1" w:val="04A0"/>
      </w:tblPr>
      <w:tblGrid>
        <w:gridCol w:w="4680"/>
        <w:gridCol w:w="4680"/>
      </w:tblGrid>
      <w:tr>
        <w:tc>
          <w:tcPr>
            <w:tcW w:type="dxa" w:w="8208"/>
            <w:tcBorders>
              <w:left w:val="none"/>
              <w:top w:val="none"/>
              <w:right w:val="none"/>
              <w:bottom w:val="none"/>
            </w:tcBorders>
            <w:tcMar>
              <w:top w:w="40" w:type="dxa"/>
              <w:bottom w:w="40" w:type="dxa"/>
              <w:left w:w="40" w:type="dxa"/>
              <w:right w:w="40" w:type="dxa"/>
            </w:tcMar>
          </w:tcPr>
          <w:p>
            <w:pPr>
              <w:spacing w:after="40"/>
              <w:jc w:val="center"/>
            </w:pPr>
            <w:r>
              <w:rPr>
                <w:rFonts w:ascii="Times New Roman" w:hAnsi="Times New Roman"/>
                <w:i/>
                <w:sz w:val="22"/>
              </w:rPr>
              <w:t>Y(i, j) = sum_c sum_m sum_n X(c, i+m, j+n) . K(c, m, n) + b</w:t>
            </w:r>
          </w:p>
        </w:tc>
        <w:tc>
          <w:tcPr>
            <w:tcW w:type="dxa" w:w="1152"/>
            <w:tcBorders>
              <w:left w:val="none"/>
              <w:top w:val="none"/>
              <w:right w:val="none"/>
              <w:bottom w:val="none"/>
            </w:tcBorders>
            <w:tcMar>
              <w:top w:w="40" w:type="dxa"/>
              <w:bottom w:w="40" w:type="dxa"/>
              <w:left w:w="40" w:type="dxa"/>
              <w:right w:w="40" w:type="dxa"/>
            </w:tcMar>
          </w:tcPr>
          <w:p>
            <w:pPr>
              <w:spacing w:after="40"/>
              <w:jc w:val="right"/>
            </w:pPr>
            <w:r>
              <w:rPr>
                <w:rFonts w:ascii="Times New Roman" w:hAnsi="Times New Roman"/>
                <w:sz w:val="20"/>
              </w:rPr>
              <w:t>(2.1)</w:t>
            </w:r>
          </w:p>
        </w:tc>
      </w:tr>
    </w:tbl>
    <w:p>
      <w:pPr>
        <w:spacing w:after="80"/>
      </w:pPr>
    </w:p>
    <w:p>
      <w:pPr>
        <w:spacing w:line="276" w:lineRule="auto" w:after="120"/>
        <w:jc w:val="both"/>
      </w:pPr>
      <w:r>
        <w:rPr>
          <w:rFonts w:ascii="Times New Roman" w:hAnsi="Times New Roman"/>
          <w:b w:val="0"/>
          <w:i w:val="0"/>
          <w:sz w:val="22"/>
        </w:rPr>
        <w:t>In medical imaging tasks with limited annotated scans, training deep networks from scratch causes severe overfitting. Transfer learning leverages pre-trained ImageNet representations, fine-tuning feature extraction backbones to recognize subtle pulmonary consolidations and reticular opacities (</w:t>
      </w:r>
      <w:r>
        <w:rPr>
          <w:rFonts w:ascii="Times New Roman" w:hAnsi="Times New Roman"/>
          <w:sz w:val="22"/>
          <w:u w:val="single"/>
        </w:rPr>
        <w:t>He et al., 2016</w:t>
      </w:r>
      <w:r>
        <w:rPr>
          <w:rFonts w:ascii="Times New Roman" w:hAnsi="Times New Roman"/>
          <w:sz w:val="22"/>
        </w:rPr>
        <w:t>).</w:t>
      </w:r>
    </w:p>
    <w:p>
      <w:pPr>
        <w:pStyle w:val="Heading2"/>
        <w:keepNext/>
        <w:spacing w:before="280" w:after="120"/>
      </w:pPr>
      <w:r>
        <w:rPr>
          <w:rFonts w:ascii="Times New Roman" w:hAnsi="Times New Roman"/>
          <w:b/>
          <w:color w:val="000000"/>
          <w:sz w:val="26"/>
        </w:rPr>
        <w:t>2.2 Deep Feature Backbones Formulation</w:t>
      </w:r>
    </w:p>
    <w:p>
      <w:pPr>
        <w:pStyle w:val="Heading3"/>
        <w:keepNext/>
        <w:spacing w:before="200" w:after="80"/>
      </w:pPr>
      <w:r>
        <w:rPr>
          <w:rFonts w:ascii="Times New Roman" w:hAnsi="Times New Roman"/>
          <w:b/>
          <w:i/>
          <w:color w:val="000000"/>
          <w:sz w:val="22"/>
        </w:rPr>
        <w:t>2.2.1 ResNet-18 (Residual Learning)</w:t>
      </w:r>
    </w:p>
    <w:p>
      <w:pPr>
        <w:spacing w:line="276" w:lineRule="auto" w:after="120"/>
        <w:jc w:val="both"/>
      </w:pPr>
      <w:r>
        <w:rPr>
          <w:rFonts w:ascii="Times New Roman" w:hAnsi="Times New Roman"/>
          <w:b w:val="0"/>
          <w:i w:val="0"/>
          <w:sz w:val="22"/>
        </w:rPr>
        <w:t>Residual Networks introduce shortcut skip connections to solve the vanishing gradient problem in deep architectures. The residual block transformation is expressed as:</w:t>
      </w:r>
    </w:p>
    <w:tbl>
      <w:tblPr>
        <w:tblW w:type="auto" w:w="0"/>
        <w:jc w:val="left"/>
        <w:tblLook w:firstColumn="1" w:firstRow="1" w:lastColumn="0" w:lastRow="0" w:noHBand="0" w:noVBand="1" w:val="04A0"/>
      </w:tblPr>
      <w:tblGrid>
        <w:gridCol w:w="4680"/>
        <w:gridCol w:w="4680"/>
      </w:tblGrid>
      <w:tr>
        <w:tc>
          <w:tcPr>
            <w:tcW w:type="dxa" w:w="8208"/>
            <w:tcBorders>
              <w:left w:val="none"/>
              <w:top w:val="none"/>
              <w:right w:val="none"/>
              <w:bottom w:val="none"/>
            </w:tcBorders>
            <w:tcMar>
              <w:top w:w="40" w:type="dxa"/>
              <w:bottom w:w="40" w:type="dxa"/>
              <w:left w:w="40" w:type="dxa"/>
              <w:right w:w="40" w:type="dxa"/>
            </w:tcMar>
          </w:tcPr>
          <w:p>
            <w:pPr>
              <w:spacing w:after="40"/>
              <w:jc w:val="center"/>
            </w:pPr>
            <w:r>
              <w:rPr>
                <w:rFonts w:ascii="Times New Roman" w:hAnsi="Times New Roman"/>
                <w:i/>
                <w:sz w:val="22"/>
              </w:rPr>
              <w:t>x_{l+1} = x_l + F(x_l, W_l)</w:t>
            </w:r>
          </w:p>
        </w:tc>
        <w:tc>
          <w:tcPr>
            <w:tcW w:type="dxa" w:w="1152"/>
            <w:tcBorders>
              <w:left w:val="none"/>
              <w:top w:val="none"/>
              <w:right w:val="none"/>
              <w:bottom w:val="none"/>
            </w:tcBorders>
            <w:tcMar>
              <w:top w:w="40" w:type="dxa"/>
              <w:bottom w:w="40" w:type="dxa"/>
              <w:left w:w="40" w:type="dxa"/>
              <w:right w:w="40" w:type="dxa"/>
            </w:tcMar>
          </w:tcPr>
          <w:p>
            <w:pPr>
              <w:spacing w:after="40"/>
              <w:jc w:val="right"/>
            </w:pPr>
            <w:r>
              <w:rPr>
                <w:rFonts w:ascii="Times New Roman" w:hAnsi="Times New Roman"/>
                <w:sz w:val="20"/>
              </w:rPr>
              <w:t>(2.2)</w:t>
            </w:r>
          </w:p>
        </w:tc>
      </w:tr>
    </w:tbl>
    <w:p>
      <w:pPr>
        <w:spacing w:after="80"/>
      </w:pPr>
    </w:p>
    <w:p>
      <w:pPr>
        <w:spacing w:line="276" w:lineRule="auto" w:after="120"/>
        <w:jc w:val="both"/>
      </w:pPr>
      <w:r>
        <w:rPr>
          <w:rFonts w:ascii="Times New Roman" w:hAnsi="Times New Roman"/>
          <w:b w:val="0"/>
          <w:i w:val="0"/>
          <w:sz w:val="22"/>
        </w:rPr>
        <w:t>where F represents stacked convolutional transformations. Skip connections allow gradients to flow unimpeded during backpropagation.</w:t>
      </w:r>
    </w:p>
    <w:p>
      <w:pPr>
        <w:pStyle w:val="Heading3"/>
        <w:keepNext/>
        <w:spacing w:before="200" w:after="80"/>
      </w:pPr>
      <w:r>
        <w:rPr>
          <w:rFonts w:ascii="Times New Roman" w:hAnsi="Times New Roman"/>
          <w:b/>
          <w:i/>
          <w:color w:val="000000"/>
          <w:sz w:val="22"/>
        </w:rPr>
        <w:t>2.2.2 DenseNet-121 (Dense Connectivity)</w:t>
      </w:r>
    </w:p>
    <w:p>
      <w:pPr>
        <w:spacing w:line="276" w:lineRule="auto" w:after="120"/>
        <w:jc w:val="both"/>
      </w:pPr>
      <w:r>
        <w:rPr>
          <w:rFonts w:ascii="Times New Roman" w:hAnsi="Times New Roman"/>
          <w:b w:val="0"/>
          <w:i w:val="0"/>
          <w:sz w:val="22"/>
        </w:rPr>
        <w:t>Dense Convolutional Networks establish direct connections from every layer to all subsequent layers within a dense block. The l-th layer receives the concatenated feature maps of all preceding layers:</w:t>
      </w:r>
    </w:p>
    <w:tbl>
      <w:tblPr>
        <w:tblW w:type="auto" w:w="0"/>
        <w:jc w:val="left"/>
        <w:tblLook w:firstColumn="1" w:firstRow="1" w:lastColumn="0" w:lastRow="0" w:noHBand="0" w:noVBand="1" w:val="04A0"/>
      </w:tblPr>
      <w:tblGrid>
        <w:gridCol w:w="4680"/>
        <w:gridCol w:w="4680"/>
      </w:tblGrid>
      <w:tr>
        <w:tc>
          <w:tcPr>
            <w:tcW w:type="dxa" w:w="8208"/>
            <w:tcBorders>
              <w:left w:val="none"/>
              <w:top w:val="none"/>
              <w:right w:val="none"/>
              <w:bottom w:val="none"/>
            </w:tcBorders>
            <w:tcMar>
              <w:top w:w="40" w:type="dxa"/>
              <w:bottom w:w="40" w:type="dxa"/>
              <w:left w:w="40" w:type="dxa"/>
              <w:right w:w="40" w:type="dxa"/>
            </w:tcMar>
          </w:tcPr>
          <w:p>
            <w:pPr>
              <w:spacing w:after="40"/>
              <w:jc w:val="center"/>
            </w:pPr>
            <w:r>
              <w:rPr>
                <w:rFonts w:ascii="Times New Roman" w:hAnsi="Times New Roman"/>
                <w:i/>
                <w:sz w:val="22"/>
              </w:rPr>
              <w:t>x_l = H_l ( [x_0, x_1, x_2, ..., x_{l-1}] )</w:t>
            </w:r>
          </w:p>
        </w:tc>
        <w:tc>
          <w:tcPr>
            <w:tcW w:type="dxa" w:w="1152"/>
            <w:tcBorders>
              <w:left w:val="none"/>
              <w:top w:val="none"/>
              <w:right w:val="none"/>
              <w:bottom w:val="none"/>
            </w:tcBorders>
            <w:tcMar>
              <w:top w:w="40" w:type="dxa"/>
              <w:bottom w:w="40" w:type="dxa"/>
              <w:left w:w="40" w:type="dxa"/>
              <w:right w:w="40" w:type="dxa"/>
            </w:tcMar>
          </w:tcPr>
          <w:p>
            <w:pPr>
              <w:spacing w:after="40"/>
              <w:jc w:val="right"/>
            </w:pPr>
            <w:r>
              <w:rPr>
                <w:rFonts w:ascii="Times New Roman" w:hAnsi="Times New Roman"/>
                <w:sz w:val="20"/>
              </w:rPr>
              <w:t>(2.3)</w:t>
            </w:r>
          </w:p>
        </w:tc>
      </w:tr>
    </w:tbl>
    <w:p>
      <w:pPr>
        <w:spacing w:after="80"/>
      </w:pPr>
    </w:p>
    <w:p>
      <w:pPr>
        <w:spacing w:line="276" w:lineRule="auto" w:after="120"/>
        <w:jc w:val="both"/>
      </w:pPr>
      <w:r>
        <w:rPr>
          <w:rFonts w:ascii="Times New Roman" w:hAnsi="Times New Roman"/>
          <w:b w:val="0"/>
          <w:i w:val="0"/>
          <w:sz w:val="22"/>
        </w:rPr>
        <w:t>Dense feature reuse facilitates gradient propagation, substantially reduces parameter count (7.0M parameters for DenseNet-121 vs 25.6M for ResNet-50), and preserves low-level spatial detail critical for chest radiography interpretation (</w:t>
      </w:r>
      <w:r>
        <w:rPr>
          <w:rFonts w:ascii="Times New Roman" w:hAnsi="Times New Roman"/>
          <w:sz w:val="22"/>
          <w:u w:val="single"/>
        </w:rPr>
        <w:t>Huang et al., 2017</w:t>
      </w:r>
      <w:r>
        <w:rPr>
          <w:rFonts w:ascii="Times New Roman" w:hAnsi="Times New Roman"/>
          <w:sz w:val="22"/>
        </w:rPr>
        <w:t>).</w:t>
      </w:r>
    </w:p>
    <w:p>
      <w:pPr>
        <w:pStyle w:val="Heading3"/>
        <w:keepNext/>
        <w:spacing w:before="200" w:after="80"/>
      </w:pPr>
      <w:r>
        <w:rPr>
          <w:rFonts w:ascii="Times New Roman" w:hAnsi="Times New Roman"/>
          <w:b/>
          <w:i/>
          <w:color w:val="000000"/>
          <w:sz w:val="22"/>
        </w:rPr>
        <w:t>2.2.3 EfficientNet-B0 (Compound Scaling)</w:t>
      </w:r>
    </w:p>
    <w:p>
      <w:pPr>
        <w:spacing w:line="276" w:lineRule="auto" w:after="120"/>
        <w:jc w:val="both"/>
      </w:pPr>
      <w:r>
        <w:rPr>
          <w:rFonts w:ascii="Times New Roman" w:hAnsi="Times New Roman"/>
          <w:b w:val="0"/>
          <w:i w:val="0"/>
          <w:sz w:val="22"/>
        </w:rPr>
        <w:t>EfficientNet scales network depth d, width w, and image resolution r uniformly using a fixed compound coefficient phi:</w:t>
      </w:r>
    </w:p>
    <w:tbl>
      <w:tblPr>
        <w:tblW w:type="auto" w:w="0"/>
        <w:jc w:val="left"/>
        <w:tblLook w:firstColumn="1" w:firstRow="1" w:lastColumn="0" w:lastRow="0" w:noHBand="0" w:noVBand="1" w:val="04A0"/>
      </w:tblPr>
      <w:tblGrid>
        <w:gridCol w:w="4680"/>
        <w:gridCol w:w="4680"/>
      </w:tblGrid>
      <w:tr>
        <w:tc>
          <w:tcPr>
            <w:tcW w:type="dxa" w:w="8208"/>
            <w:tcBorders>
              <w:left w:val="none"/>
              <w:top w:val="none"/>
              <w:right w:val="none"/>
              <w:bottom w:val="none"/>
            </w:tcBorders>
            <w:tcMar>
              <w:top w:w="40" w:type="dxa"/>
              <w:bottom w:w="40" w:type="dxa"/>
              <w:left w:w="40" w:type="dxa"/>
              <w:right w:w="40" w:type="dxa"/>
            </w:tcMar>
          </w:tcPr>
          <w:p>
            <w:pPr>
              <w:spacing w:after="40"/>
              <w:jc w:val="center"/>
            </w:pPr>
            <w:r>
              <w:rPr>
                <w:rFonts w:ascii="Times New Roman" w:hAnsi="Times New Roman"/>
                <w:i/>
                <w:sz w:val="22"/>
              </w:rPr>
              <w:t>d = alpha^phi,   w = beta^phi,   r = gamma^phi   s.t.  alpha . beta^2 . gamma^2 approx 2</w:t>
            </w:r>
          </w:p>
        </w:tc>
        <w:tc>
          <w:tcPr>
            <w:tcW w:type="dxa" w:w="1152"/>
            <w:tcBorders>
              <w:left w:val="none"/>
              <w:top w:val="none"/>
              <w:right w:val="none"/>
              <w:bottom w:val="none"/>
            </w:tcBorders>
            <w:tcMar>
              <w:top w:w="40" w:type="dxa"/>
              <w:bottom w:w="40" w:type="dxa"/>
              <w:left w:w="40" w:type="dxa"/>
              <w:right w:w="40" w:type="dxa"/>
            </w:tcMar>
          </w:tcPr>
          <w:p>
            <w:pPr>
              <w:spacing w:after="40"/>
              <w:jc w:val="right"/>
            </w:pPr>
            <w:r>
              <w:rPr>
                <w:rFonts w:ascii="Times New Roman" w:hAnsi="Times New Roman"/>
                <w:sz w:val="20"/>
              </w:rPr>
              <w:t>(2.4)</w:t>
            </w:r>
          </w:p>
        </w:tc>
      </w:tr>
    </w:tbl>
    <w:p>
      <w:pPr>
        <w:spacing w:after="80"/>
      </w:pPr>
    </w:p>
    <w:p>
      <w:pPr>
        <w:pStyle w:val="Heading2"/>
        <w:keepNext/>
        <w:spacing w:before="280" w:after="120"/>
      </w:pPr>
      <w:r>
        <w:rPr>
          <w:rFonts w:ascii="Times New Roman" w:hAnsi="Times New Roman"/>
          <w:b/>
          <w:color w:val="000000"/>
          <w:sz w:val="26"/>
        </w:rPr>
        <w:t>2.3 Explainable AI: Grad-CAM Mathematical Formulation</w:t>
      </w:r>
    </w:p>
    <w:p>
      <w:pPr>
        <w:spacing w:line="276" w:lineRule="auto" w:after="120"/>
        <w:jc w:val="both"/>
      </w:pPr>
      <w:r>
        <w:rPr>
          <w:rFonts w:ascii="Times New Roman" w:hAnsi="Times New Roman"/>
          <w:b w:val="0"/>
          <w:i w:val="0"/>
          <w:sz w:val="22"/>
        </w:rPr>
        <w:t>Gradient-weighted Class Activation Mapping (Grad-CAM) calculates spatial attention weights alpha_k^c for feature map A^k in the final convolutional layer with respect to class score Y^c:</w:t>
      </w:r>
    </w:p>
    <w:tbl>
      <w:tblPr>
        <w:tblW w:type="auto" w:w="0"/>
        <w:jc w:val="left"/>
        <w:tblLook w:firstColumn="1" w:firstRow="1" w:lastColumn="0" w:lastRow="0" w:noHBand="0" w:noVBand="1" w:val="04A0"/>
      </w:tblPr>
      <w:tblGrid>
        <w:gridCol w:w="4680"/>
        <w:gridCol w:w="4680"/>
      </w:tblGrid>
      <w:tr>
        <w:tc>
          <w:tcPr>
            <w:tcW w:type="dxa" w:w="8208"/>
            <w:tcBorders>
              <w:left w:val="none"/>
              <w:top w:val="none"/>
              <w:right w:val="none"/>
              <w:bottom w:val="none"/>
            </w:tcBorders>
            <w:tcMar>
              <w:top w:w="40" w:type="dxa"/>
              <w:bottom w:w="40" w:type="dxa"/>
              <w:left w:w="40" w:type="dxa"/>
              <w:right w:w="40" w:type="dxa"/>
            </w:tcMar>
          </w:tcPr>
          <w:p>
            <w:pPr>
              <w:spacing w:after="40"/>
              <w:jc w:val="center"/>
            </w:pPr>
            <w:r>
              <w:rPr>
                <w:rFonts w:ascii="Times New Roman" w:hAnsi="Times New Roman"/>
                <w:i/>
                <w:sz w:val="22"/>
              </w:rPr>
              <w:t>alpha_k^c = (1 / Z) * sum_i sum_j ( d Y^c / d A_{i,j}^k )</w:t>
            </w:r>
          </w:p>
        </w:tc>
        <w:tc>
          <w:tcPr>
            <w:tcW w:type="dxa" w:w="1152"/>
            <w:tcBorders>
              <w:left w:val="none"/>
              <w:top w:val="none"/>
              <w:right w:val="none"/>
              <w:bottom w:val="none"/>
            </w:tcBorders>
            <w:tcMar>
              <w:top w:w="40" w:type="dxa"/>
              <w:bottom w:w="40" w:type="dxa"/>
              <w:left w:w="40" w:type="dxa"/>
              <w:right w:w="40" w:type="dxa"/>
            </w:tcMar>
          </w:tcPr>
          <w:p>
            <w:pPr>
              <w:spacing w:after="40"/>
              <w:jc w:val="right"/>
            </w:pPr>
            <w:r>
              <w:rPr>
                <w:rFonts w:ascii="Times New Roman" w:hAnsi="Times New Roman"/>
                <w:sz w:val="20"/>
              </w:rPr>
              <w:t>(2.5)</w:t>
            </w:r>
          </w:p>
        </w:tc>
      </w:tr>
    </w:tbl>
    <w:p>
      <w:pPr>
        <w:spacing w:after="80"/>
      </w:pPr>
    </w:p>
    <w:p>
      <w:pPr>
        <w:spacing w:line="276" w:lineRule="auto" w:after="120"/>
        <w:jc w:val="both"/>
      </w:pPr>
      <w:r>
        <w:rPr>
          <w:rFonts w:ascii="Times New Roman" w:hAnsi="Times New Roman"/>
          <w:b w:val="0"/>
          <w:i w:val="0"/>
          <w:sz w:val="22"/>
        </w:rPr>
        <w:t>The final Grad-CAM spatial heatmap is generated by taking a rectified linear combination of feature activation maps:</w:t>
      </w:r>
    </w:p>
    <w:tbl>
      <w:tblPr>
        <w:tblW w:type="auto" w:w="0"/>
        <w:jc w:val="left"/>
        <w:tblLook w:firstColumn="1" w:firstRow="1" w:lastColumn="0" w:lastRow="0" w:noHBand="0" w:noVBand="1" w:val="04A0"/>
      </w:tblPr>
      <w:tblGrid>
        <w:gridCol w:w="4680"/>
        <w:gridCol w:w="4680"/>
      </w:tblGrid>
      <w:tr>
        <w:tc>
          <w:tcPr>
            <w:tcW w:type="dxa" w:w="8208"/>
            <w:tcBorders>
              <w:left w:val="none"/>
              <w:top w:val="none"/>
              <w:right w:val="none"/>
              <w:bottom w:val="none"/>
            </w:tcBorders>
            <w:tcMar>
              <w:top w:w="40" w:type="dxa"/>
              <w:bottom w:w="40" w:type="dxa"/>
              <w:left w:w="40" w:type="dxa"/>
              <w:right w:w="40" w:type="dxa"/>
            </w:tcMar>
          </w:tcPr>
          <w:p>
            <w:pPr>
              <w:spacing w:after="40"/>
              <w:jc w:val="center"/>
            </w:pPr>
            <w:r>
              <w:rPr>
                <w:rFonts w:ascii="Times New Roman" w:hAnsi="Times New Roman"/>
                <w:i/>
                <w:sz w:val="22"/>
              </w:rPr>
              <w:t>L_{Grad-CAM}^c = ReLU ( sum_k alpha_k^c A^k )</w:t>
            </w:r>
          </w:p>
        </w:tc>
        <w:tc>
          <w:tcPr>
            <w:tcW w:type="dxa" w:w="1152"/>
            <w:tcBorders>
              <w:left w:val="none"/>
              <w:top w:val="none"/>
              <w:right w:val="none"/>
              <w:bottom w:val="none"/>
            </w:tcBorders>
            <w:tcMar>
              <w:top w:w="40" w:type="dxa"/>
              <w:bottom w:w="40" w:type="dxa"/>
              <w:left w:w="40" w:type="dxa"/>
              <w:right w:w="40" w:type="dxa"/>
            </w:tcMar>
          </w:tcPr>
          <w:p>
            <w:pPr>
              <w:spacing w:after="40"/>
              <w:jc w:val="right"/>
            </w:pPr>
            <w:r>
              <w:rPr>
                <w:rFonts w:ascii="Times New Roman" w:hAnsi="Times New Roman"/>
                <w:sz w:val="20"/>
              </w:rPr>
              <w:t>(2.6)</w:t>
            </w:r>
          </w:p>
        </w:tc>
      </w:tr>
    </w:tbl>
    <w:p>
      <w:pPr>
        <w:spacing w:after="80"/>
      </w:pPr>
    </w:p>
    <w:p>
      <w:pPr>
        <w:spacing w:line="276" w:lineRule="auto" w:after="120"/>
        <w:jc w:val="both"/>
      </w:pPr>
      <w:r>
        <w:rPr>
          <w:rFonts w:ascii="Times New Roman" w:hAnsi="Times New Roman"/>
          <w:b w:val="0"/>
          <w:i w:val="0"/>
          <w:sz w:val="22"/>
        </w:rPr>
        <w:t>The ReLU activation isolates features that positively correlate with the target pathology while filtering out irrelevant background structures (</w:t>
      </w:r>
      <w:r>
        <w:rPr>
          <w:rFonts w:ascii="Times New Roman" w:hAnsi="Times New Roman"/>
          <w:sz w:val="22"/>
          <w:u w:val="single"/>
        </w:rPr>
        <w:t>Selvaraju et al., 2017</w:t>
      </w:r>
      <w:r>
        <w:rPr>
          <w:rFonts w:ascii="Times New Roman" w:hAnsi="Times New Roman"/>
          <w:sz w:val="22"/>
        </w:rPr>
        <w:t>).</w:t>
      </w:r>
    </w:p>
    <w:p>
      <w:pPr>
        <w:pStyle w:val="Heading2"/>
        <w:keepNext/>
        <w:spacing w:before="280" w:after="120"/>
      </w:pPr>
      <w:r>
        <w:rPr>
          <w:rFonts w:ascii="Times New Roman" w:hAnsi="Times New Roman"/>
          <w:b/>
          <w:color w:val="000000"/>
          <w:sz w:val="26"/>
        </w:rPr>
        <w:t>2.4 Classical Machine Learning Baseline: HOG + SVM</w:t>
      </w:r>
    </w:p>
    <w:p>
      <w:pPr>
        <w:spacing w:line="276" w:lineRule="auto" w:after="120"/>
        <w:jc w:val="both"/>
      </w:pPr>
      <w:r>
        <w:rPr>
          <w:rFonts w:ascii="Times New Roman" w:hAnsi="Times New Roman"/>
          <w:b w:val="0"/>
          <w:i w:val="0"/>
          <w:sz w:val="22"/>
        </w:rPr>
        <w:t>To benchmark deep learning against traditional handcrafted features, we compute Histogram of Oriented Gradients (HOG). Local gradient magnitudes m(x,y) and orientations theta(x,y) are calculated via image Sobel derivatives:</w:t>
      </w:r>
    </w:p>
    <w:tbl>
      <w:tblPr>
        <w:tblW w:type="auto" w:w="0"/>
        <w:jc w:val="left"/>
        <w:tblLook w:firstColumn="1" w:firstRow="1" w:lastColumn="0" w:lastRow="0" w:noHBand="0" w:noVBand="1" w:val="04A0"/>
      </w:tblPr>
      <w:tblGrid>
        <w:gridCol w:w="4680"/>
        <w:gridCol w:w="4680"/>
      </w:tblGrid>
      <w:tr>
        <w:tc>
          <w:tcPr>
            <w:tcW w:type="dxa" w:w="8208"/>
            <w:tcBorders>
              <w:left w:val="none"/>
              <w:top w:val="none"/>
              <w:right w:val="none"/>
              <w:bottom w:val="none"/>
            </w:tcBorders>
            <w:tcMar>
              <w:top w:w="40" w:type="dxa"/>
              <w:bottom w:w="40" w:type="dxa"/>
              <w:left w:w="40" w:type="dxa"/>
              <w:right w:w="40" w:type="dxa"/>
            </w:tcMar>
          </w:tcPr>
          <w:p>
            <w:pPr>
              <w:spacing w:after="40"/>
              <w:jc w:val="center"/>
            </w:pPr>
            <w:r>
              <w:rPr>
                <w:rFonts w:ascii="Times New Roman" w:hAnsi="Times New Roman"/>
                <w:i/>
                <w:sz w:val="22"/>
              </w:rPr>
              <w:t>m(x,y) = sqrt( G_x^2 + G_y^2 ),   theta(x,y) = arctan ( G_y / G_x )</w:t>
            </w:r>
          </w:p>
        </w:tc>
        <w:tc>
          <w:tcPr>
            <w:tcW w:type="dxa" w:w="1152"/>
            <w:tcBorders>
              <w:left w:val="none"/>
              <w:top w:val="none"/>
              <w:right w:val="none"/>
              <w:bottom w:val="none"/>
            </w:tcBorders>
            <w:tcMar>
              <w:top w:w="40" w:type="dxa"/>
              <w:bottom w:w="40" w:type="dxa"/>
              <w:left w:w="40" w:type="dxa"/>
              <w:right w:w="40" w:type="dxa"/>
            </w:tcMar>
          </w:tcPr>
          <w:p>
            <w:pPr>
              <w:spacing w:after="40"/>
              <w:jc w:val="right"/>
            </w:pPr>
            <w:r>
              <w:rPr>
                <w:rFonts w:ascii="Times New Roman" w:hAnsi="Times New Roman"/>
                <w:sz w:val="20"/>
              </w:rPr>
              <w:t>(2.7)</w:t>
            </w:r>
          </w:p>
        </w:tc>
      </w:tr>
    </w:tbl>
    <w:p>
      <w:pPr>
        <w:spacing w:after="80"/>
      </w:pPr>
    </w:p>
    <w:p>
      <w:pPr>
        <w:spacing w:line="276" w:lineRule="auto" w:after="120"/>
        <w:jc w:val="both"/>
      </w:pPr>
      <w:r>
        <w:rPr>
          <w:rFonts w:ascii="Times New Roman" w:hAnsi="Times New Roman"/>
          <w:b w:val="0"/>
          <w:i w:val="0"/>
          <w:sz w:val="22"/>
        </w:rPr>
        <w:t>Extracted HOG vectors and 32-bin intensity histograms are normalized using StandardScaler and classified via a Radial Basis Function (RBF) Support Vector Machine:</w:t>
      </w:r>
    </w:p>
    <w:tbl>
      <w:tblPr>
        <w:tblW w:type="auto" w:w="0"/>
        <w:jc w:val="left"/>
        <w:tblLook w:firstColumn="1" w:firstRow="1" w:lastColumn="0" w:lastRow="0" w:noHBand="0" w:noVBand="1" w:val="04A0"/>
      </w:tblPr>
      <w:tblGrid>
        <w:gridCol w:w="4680"/>
        <w:gridCol w:w="4680"/>
      </w:tblGrid>
      <w:tr>
        <w:tc>
          <w:tcPr>
            <w:tcW w:type="dxa" w:w="8208"/>
            <w:tcBorders>
              <w:left w:val="none"/>
              <w:top w:val="none"/>
              <w:right w:val="none"/>
              <w:bottom w:val="none"/>
            </w:tcBorders>
            <w:tcMar>
              <w:top w:w="40" w:type="dxa"/>
              <w:bottom w:w="40" w:type="dxa"/>
              <w:left w:w="40" w:type="dxa"/>
              <w:right w:w="40" w:type="dxa"/>
            </w:tcMar>
          </w:tcPr>
          <w:p>
            <w:pPr>
              <w:spacing w:after="40"/>
              <w:jc w:val="center"/>
            </w:pPr>
            <w:r>
              <w:rPr>
                <w:rFonts w:ascii="Times New Roman" w:hAnsi="Times New Roman"/>
                <w:i/>
                <w:sz w:val="22"/>
              </w:rPr>
              <w:t>K(x, x') = exp ( - gamma || x - x' ||^2 )</w:t>
            </w:r>
          </w:p>
        </w:tc>
        <w:tc>
          <w:tcPr>
            <w:tcW w:type="dxa" w:w="1152"/>
            <w:tcBorders>
              <w:left w:val="none"/>
              <w:top w:val="none"/>
              <w:right w:val="none"/>
              <w:bottom w:val="none"/>
            </w:tcBorders>
            <w:tcMar>
              <w:top w:w="40" w:type="dxa"/>
              <w:bottom w:w="40" w:type="dxa"/>
              <w:left w:w="40" w:type="dxa"/>
              <w:right w:w="40" w:type="dxa"/>
            </w:tcMar>
          </w:tcPr>
          <w:p>
            <w:pPr>
              <w:spacing w:after="40"/>
              <w:jc w:val="right"/>
            </w:pPr>
            <w:r>
              <w:rPr>
                <w:rFonts w:ascii="Times New Roman" w:hAnsi="Times New Roman"/>
                <w:sz w:val="20"/>
              </w:rPr>
              <w:t>(2.8)</w:t>
            </w:r>
          </w:p>
        </w:tc>
      </w:tr>
    </w:tbl>
    <w:p>
      <w:pPr>
        <w:spacing w:after="80"/>
      </w:pPr>
    </w:p>
    <w:p>
      <w:pPr>
        <w:pStyle w:val="Heading2"/>
        <w:keepNext/>
        <w:spacing w:before="280" w:after="120"/>
      </w:pPr>
      <w:r>
        <w:rPr>
          <w:rFonts w:ascii="Times New Roman" w:hAnsi="Times New Roman"/>
          <w:b/>
          <w:color w:val="000000"/>
          <w:sz w:val="26"/>
        </w:rPr>
        <w:t>2.5 Multi-Class Evaluation Metrics</w:t>
      </w:r>
    </w:p>
    <w:p>
      <w:pPr>
        <w:spacing w:line="276" w:lineRule="auto" w:after="120"/>
        <w:jc w:val="both"/>
      </w:pPr>
      <w:r>
        <w:rPr>
          <w:rFonts w:ascii="Times New Roman" w:hAnsi="Times New Roman"/>
          <w:b w:val="0"/>
          <w:i w:val="0"/>
          <w:sz w:val="22"/>
        </w:rPr>
        <w:t>Model performance is evaluated across five standard metrics. Macro-averaged F1 Score and Macro AUC handle class imbalance transparently:</w:t>
      </w:r>
    </w:p>
    <w:tbl>
      <w:tblPr>
        <w:tblW w:type="auto" w:w="0"/>
        <w:jc w:val="left"/>
        <w:tblLook w:firstColumn="1" w:firstRow="1" w:lastColumn="0" w:lastRow="0" w:noHBand="0" w:noVBand="1" w:val="04A0"/>
      </w:tblPr>
      <w:tblGrid>
        <w:gridCol w:w="4680"/>
        <w:gridCol w:w="4680"/>
      </w:tblGrid>
      <w:tr>
        <w:tc>
          <w:tcPr>
            <w:tcW w:type="dxa" w:w="8208"/>
            <w:tcBorders>
              <w:left w:val="none"/>
              <w:top w:val="none"/>
              <w:right w:val="none"/>
              <w:bottom w:val="none"/>
            </w:tcBorders>
            <w:tcMar>
              <w:top w:w="40" w:type="dxa"/>
              <w:bottom w:w="40" w:type="dxa"/>
              <w:left w:w="40" w:type="dxa"/>
              <w:right w:w="40" w:type="dxa"/>
            </w:tcMar>
          </w:tcPr>
          <w:p>
            <w:pPr>
              <w:spacing w:after="40"/>
              <w:jc w:val="center"/>
            </w:pPr>
            <w:r>
              <w:rPr>
                <w:rFonts w:ascii="Times New Roman" w:hAnsi="Times New Roman"/>
                <w:i/>
                <w:sz w:val="22"/>
              </w:rPr>
              <w:t>F1_{macro} = (1 / K) * sum_{k=1}^K [ 2 * ( P_k * R_k ) / ( P_k + R_k ) ]</w:t>
            </w:r>
          </w:p>
        </w:tc>
        <w:tc>
          <w:tcPr>
            <w:tcW w:type="dxa" w:w="1152"/>
            <w:tcBorders>
              <w:left w:val="none"/>
              <w:top w:val="none"/>
              <w:right w:val="none"/>
              <w:bottom w:val="none"/>
            </w:tcBorders>
            <w:tcMar>
              <w:top w:w="40" w:type="dxa"/>
              <w:bottom w:w="40" w:type="dxa"/>
              <w:left w:w="40" w:type="dxa"/>
              <w:right w:w="40" w:type="dxa"/>
            </w:tcMar>
          </w:tcPr>
          <w:p>
            <w:pPr>
              <w:spacing w:after="40"/>
              <w:jc w:val="right"/>
            </w:pPr>
            <w:r>
              <w:rPr>
                <w:rFonts w:ascii="Times New Roman" w:hAnsi="Times New Roman"/>
                <w:sz w:val="20"/>
              </w:rPr>
              <w:t>(2.9)</w:t>
            </w:r>
          </w:p>
        </w:tc>
      </w:tr>
    </w:tbl>
    <w:p>
      <w:pPr>
        <w:spacing w:after="80"/>
      </w:pPr>
    </w:p>
    <w:p>
      <w:pPr>
        <w:pStyle w:val="Heading1"/>
        <w:keepNext/>
        <w:spacing w:before="360" w:after="160"/>
        <w:pBdr>
          <w:bottom w:val="single" w:sz="16" w:space="4" w:color="000000"/>
        </w:pBdr>
      </w:pPr>
      <w:r>
        <w:rPr>
          <w:rFonts w:ascii="Times New Roman" w:hAnsi="Times New Roman"/>
          <w:b/>
          <w:color w:val="000000"/>
          <w:sz w:val="32"/>
        </w:rPr>
        <w:t>3. Data Hygiene, Deduplication, and Zero-Leakage Partitioning</w:t>
      </w:r>
    </w:p>
    <w:p>
      <w:pPr>
        <w:pStyle w:val="Heading2"/>
        <w:keepNext/>
        <w:spacing w:before="280" w:after="120"/>
      </w:pPr>
      <w:r>
        <w:rPr>
          <w:rFonts w:ascii="Times New Roman" w:hAnsi="Times New Roman"/>
          <w:b/>
          <w:color w:val="000000"/>
          <w:sz w:val="26"/>
        </w:rPr>
        <w:t>3.1 Raw Dataset Acquisition</w:t>
      </w:r>
    </w:p>
    <w:p>
      <w:pPr>
        <w:spacing w:line="276" w:lineRule="auto" w:after="120"/>
        <w:jc w:val="both"/>
      </w:pPr>
      <w:r>
        <w:rPr>
          <w:rFonts w:ascii="Times New Roman" w:hAnsi="Times New Roman"/>
          <w:b w:val="0"/>
          <w:i w:val="0"/>
          <w:sz w:val="22"/>
        </w:rPr>
        <w:t>We aggregate public medical radiographies from three distinct sources:</w:t>
      </w:r>
    </w:p>
    <w:p>
      <w:pPr>
        <w:spacing w:line="276" w:lineRule="auto" w:after="120"/>
        <w:jc w:val="both"/>
      </w:pPr>
      <w:r>
        <w:rPr>
          <w:rFonts w:ascii="Times New Roman" w:hAnsi="Times New Roman"/>
          <w:b w:val="0"/>
          <w:i w:val="0"/>
          <w:sz w:val="22"/>
        </w:rPr>
        <w:t>1. Kermany Chest X-Ray Dataset: 5,863 pediatric chest radiographies from Guangzhou Women and Children's Medical Center (CC BY 4.0). Includes Normal, Bacterial Pneumonia, and Viral Pneumonia (</w:t>
      </w:r>
      <w:r>
        <w:rPr>
          <w:rFonts w:ascii="Times New Roman" w:hAnsi="Times New Roman"/>
          <w:sz w:val="22"/>
          <w:u w:val="single"/>
        </w:rPr>
        <w:t>Kermany et al., 2018</w:t>
      </w:r>
      <w:r>
        <w:rPr>
          <w:rFonts w:ascii="Times New Roman" w:hAnsi="Times New Roman"/>
          <w:sz w:val="22"/>
        </w:rPr>
        <w:t>).</w:t>
      </w:r>
    </w:p>
    <w:p>
      <w:pPr>
        <w:spacing w:line="276" w:lineRule="auto" w:after="120"/>
        <w:jc w:val="both"/>
      </w:pPr>
      <w:r>
        <w:rPr>
          <w:rFonts w:ascii="Times New Roman" w:hAnsi="Times New Roman"/>
          <w:b w:val="0"/>
          <w:i w:val="0"/>
          <w:sz w:val="22"/>
        </w:rPr>
        <w:t>2. Shenzhen Hospital Dataset (NLM/NIH): 662 adult chest radiographies (336 TB, 326 Normal) from Shenzhen No.3 People's Hospital (</w:t>
      </w:r>
      <w:r>
        <w:rPr>
          <w:rFonts w:ascii="Times New Roman" w:hAnsi="Times New Roman"/>
          <w:sz w:val="22"/>
          <w:u w:val="single"/>
        </w:rPr>
        <w:t>Jaeger et al., 2014</w:t>
      </w:r>
      <w:r>
        <w:rPr>
          <w:rFonts w:ascii="Times New Roman" w:hAnsi="Times New Roman"/>
          <w:sz w:val="22"/>
        </w:rPr>
        <w:t>).</w:t>
      </w:r>
    </w:p>
    <w:p>
      <w:pPr>
        <w:spacing w:line="276" w:lineRule="auto" w:after="120"/>
        <w:jc w:val="both"/>
      </w:pPr>
      <w:r>
        <w:rPr>
          <w:rFonts w:ascii="Times New Roman" w:hAnsi="Times New Roman"/>
          <w:b w:val="0"/>
          <w:i w:val="0"/>
          <w:sz w:val="22"/>
        </w:rPr>
        <w:t>3. Montgomery County Dataset (NLM/NIH): 138 adult chest radiographies (58 TB, 80 Normal) from Montgomery County Health Department, Maryland, USA (</w:t>
      </w:r>
      <w:r>
        <w:rPr>
          <w:rFonts w:ascii="Times New Roman" w:hAnsi="Times New Roman"/>
          <w:sz w:val="22"/>
          <w:u w:val="single"/>
        </w:rPr>
        <w:t>Candemir et al., 2014</w:t>
      </w:r>
      <w:r>
        <w:rPr>
          <w:rFonts w:ascii="Times New Roman" w:hAnsi="Times New Roman"/>
          <w:sz w:val="22"/>
        </w:rPr>
        <w:t>).</w:t>
      </w:r>
    </w:p>
    <w:p>
      <w:pPr>
        <w:pStyle w:val="Heading2"/>
        <w:keepNext/>
        <w:spacing w:before="280" w:after="120"/>
      </w:pPr>
      <w:r>
        <w:rPr>
          <w:rFonts w:ascii="Times New Roman" w:hAnsi="Times New Roman"/>
          <w:b/>
          <w:color w:val="000000"/>
          <w:sz w:val="26"/>
        </w:rPr>
        <w:t>3.2 MD5 Content Checksum Deduplication</w:t>
      </w:r>
    </w:p>
    <w:p>
      <w:pPr>
        <w:spacing w:line="276" w:lineRule="auto" w:after="120"/>
        <w:jc w:val="both"/>
      </w:pPr>
      <w:r>
        <w:rPr>
          <w:rFonts w:ascii="Times New Roman" w:hAnsi="Times New Roman"/>
          <w:b w:val="0"/>
          <w:i w:val="0"/>
          <w:sz w:val="22"/>
        </w:rPr>
        <w:t>Duplicate scans across datasets act as a major source of data leakage. We compute 128-bit MD5 content hashes for all raw image files. Out of 12,788 scanned raw files, exactly 5,888 duplicate images were identified and removed, yielding a clean dataset of 6,900 unique radiographies.</w:t>
      </w:r>
    </w:p>
    <w:p>
      <w:pPr>
        <w:pStyle w:val="Heading2"/>
        <w:keepNext/>
        <w:spacing w:before="280" w:after="120"/>
      </w:pPr>
      <w:r>
        <w:rPr>
          <w:rFonts w:ascii="Times New Roman" w:hAnsi="Times New Roman"/>
          <w:b/>
          <w:color w:val="000000"/>
          <w:sz w:val="26"/>
        </w:rPr>
        <w:t>3.3 Patient-Level Partitioning Protocol</w:t>
      </w:r>
    </w:p>
    <w:p>
      <w:pPr>
        <w:spacing w:line="276" w:lineRule="auto" w:after="120"/>
        <w:jc w:val="both"/>
      </w:pPr>
      <w:r>
        <w:rPr>
          <w:rFonts w:ascii="Times New Roman" w:hAnsi="Times New Roman"/>
          <w:b w:val="0"/>
          <w:i w:val="0"/>
          <w:sz w:val="22"/>
        </w:rPr>
        <w:t>Patient IDs are parsed from filenames using regular expressions (person{N} for Kermany, CHN_{id} for Shenzhen, MCU_{id} for Montgomery). Partitioning is executed using GroupShuffleSplit with groups = patient_id to prevent any patient's radiographies from straddling split boundaries.</w:t>
      </w:r>
    </w:p>
    <w:p>
      <w:pPr>
        <w:spacing w:before="240" w:after="80"/>
        <w:jc w:val="center"/>
      </w:pPr>
      <w:r>
        <w:drawing>
          <wp:inline xmlns:a="http://schemas.openxmlformats.org/drawingml/2006/main" xmlns:pic="http://schemas.openxmlformats.org/drawingml/2006/picture">
            <wp:extent cx="5486400" cy="3207434"/>
            <wp:docPr id="1" name="Picture 1"/>
            <wp:cNvGraphicFramePr>
              <a:graphicFrameLocks noChangeAspect="1"/>
            </wp:cNvGraphicFramePr>
            <a:graphic>
              <a:graphicData uri="http://schemas.openxmlformats.org/drawingml/2006/picture">
                <pic:pic>
                  <pic:nvPicPr>
                    <pic:cNvPr id="0" name="chart_class_distribution.png"/>
                    <pic:cNvPicPr/>
                  </pic:nvPicPr>
                  <pic:blipFill>
                    <a:blip r:embed="rId9"/>
                    <a:stretch>
                      <a:fillRect/>
                    </a:stretch>
                  </pic:blipFill>
                  <pic:spPr>
                    <a:xfrm>
                      <a:off x="0" y="0"/>
                      <a:ext cx="5486400" cy="3207434"/>
                    </a:xfrm>
                    <a:prstGeom prst="rect"/>
                  </pic:spPr>
                </pic:pic>
              </a:graphicData>
            </a:graphic>
          </wp:inline>
        </w:drawing>
      </w:r>
    </w:p>
    <w:p>
      <w:pPr>
        <w:spacing w:after="200"/>
        <w:jc w:val="center"/>
      </w:pPr>
      <w:r>
        <w:rPr>
          <w:rFonts w:ascii="Times New Roman" w:hAnsi="Times New Roman"/>
          <w:i/>
          <w:sz w:val="19"/>
        </w:rPr>
        <w:t>Figure 3.1: Distribution of clean unique radiography scans across four pathology classes (Total: 6,900 scans).</w:t>
      </w:r>
    </w:p>
    <w:p>
      <w:pPr>
        <w:keepNext/>
        <w:spacing w:before="160" w:after="80"/>
      </w:pPr>
      <w:r>
        <w:rPr>
          <w:rFonts w:ascii="Times New Roman" w:hAnsi="Times New Roman"/>
          <w:b/>
          <w:sz w:val="20"/>
        </w:rPr>
        <w:t>Table 3.1: Final zero-leakage patient-level dataset partition statistics.</w:t>
      </w: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2016"/>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Split Set</w:t>
            </w:r>
          </w:p>
        </w:tc>
        <w:tc>
          <w:tcPr>
            <w:tcW w:type="dxa" w:w="1152"/>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Normal</w:t>
            </w:r>
          </w:p>
        </w:tc>
        <w:tc>
          <w:tcPr>
            <w:tcW w:type="dxa" w:w="1296"/>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Bacterial Pneu.</w:t>
            </w:r>
          </w:p>
        </w:tc>
        <w:tc>
          <w:tcPr>
            <w:tcW w:type="dxa" w:w="1152"/>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Viral Pneu.</w:t>
            </w:r>
          </w:p>
        </w:tc>
        <w:tc>
          <w:tcPr>
            <w:tcW w:type="dxa" w:w="1296"/>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Tuberculosis</w:t>
            </w:r>
          </w:p>
        </w:tc>
        <w:tc>
          <w:tcPr>
            <w:tcW w:type="dxa" w:w="1224"/>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Total Scans</w:t>
            </w:r>
          </w:p>
        </w:tc>
        <w:tc>
          <w:tcPr>
            <w:tcW w:type="dxa" w:w="1224"/>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Unique Patients</w:t>
            </w:r>
          </w:p>
        </w:tc>
      </w:tr>
      <w:tr>
        <w:tc>
          <w:tcPr>
            <w:tcW w:type="dxa" w:w="201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left"/>
            </w:pPr>
            <w:r>
              <w:rPr>
                <w:rFonts w:ascii="Times New Roman" w:hAnsi="Times New Roman"/>
                <w:b/>
                <w:i w:val="0"/>
                <w:color w:val="000000"/>
                <w:sz w:val="19"/>
              </w:rPr>
              <w:t>Train Set (70%)</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1,325</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1,966</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1,060</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235</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4,586</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2,740</w:t>
            </w:r>
          </w:p>
        </w:tc>
      </w:tr>
      <w:tr>
        <w:tc>
          <w:tcPr>
            <w:tcW w:type="dxa" w:w="201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left"/>
            </w:pPr>
            <w:r>
              <w:rPr>
                <w:rFonts w:ascii="Times New Roman" w:hAnsi="Times New Roman"/>
                <w:b/>
                <w:i w:val="0"/>
                <w:color w:val="000000"/>
                <w:sz w:val="19"/>
              </w:rPr>
              <w:t>Validation Set (15%)</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270</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411</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226</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59</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966</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587</w:t>
            </w:r>
          </w:p>
        </w:tc>
      </w:tr>
      <w:tr>
        <w:tc>
          <w:tcPr>
            <w:tcW w:type="dxa" w:w="201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left"/>
            </w:pPr>
            <w:r>
              <w:rPr>
                <w:rFonts w:ascii="Times New Roman" w:hAnsi="Times New Roman"/>
                <w:b/>
                <w:i w:val="0"/>
                <w:color w:val="000000"/>
                <w:sz w:val="19"/>
              </w:rPr>
              <w:t>Internal Test Set (15%)</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310</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383</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199</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42</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934</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588</w:t>
            </w:r>
          </w:p>
        </w:tc>
      </w:tr>
      <w:tr>
        <w:tc>
          <w:tcPr>
            <w:tcW w:type="dxa" w:w="201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left"/>
            </w:pPr>
            <w:r>
              <w:rPr>
                <w:rFonts w:ascii="Times New Roman" w:hAnsi="Times New Roman"/>
                <w:b/>
                <w:i w:val="0"/>
                <w:color w:val="000000"/>
                <w:sz w:val="19"/>
              </w:rPr>
              <w:t>External Test (Montgomery)</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240</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174</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414</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138</w:t>
            </w:r>
          </w:p>
        </w:tc>
      </w:tr>
    </w:tbl>
    <w:p>
      <w:pPr>
        <w:spacing w:after="120"/>
      </w:pPr>
    </w:p>
    <w:p>
      <w:pPr>
        <w:pStyle w:val="Heading2"/>
        <w:keepNext/>
        <w:spacing w:before="280" w:after="120"/>
      </w:pPr>
      <w:r>
        <w:rPr>
          <w:rFonts w:ascii="Times New Roman" w:hAnsi="Times New Roman"/>
          <w:b/>
          <w:color w:val="000000"/>
          <w:sz w:val="26"/>
        </w:rPr>
        <w:t>3.4 Automated Scientific Audit Verification</w:t>
      </w:r>
    </w:p>
    <w:p>
      <w:pPr>
        <w:spacing w:line="276" w:lineRule="auto" w:after="120"/>
        <w:jc w:val="both"/>
      </w:pPr>
      <w:r>
        <w:rPr>
          <w:rFonts w:ascii="Times New Roman" w:hAnsi="Times New Roman"/>
          <w:b w:val="0"/>
          <w:i w:val="0"/>
          <w:sz w:val="22"/>
        </w:rPr>
        <w:t>To guarantee absolute scientific integrity, we created an automated audit verification script (src/audit_pipeline.py). The audit script executes automated assertion tests verifying four criteria:</w:t>
      </w:r>
    </w:p>
    <w:p>
      <w:pPr>
        <w:spacing w:line="276" w:lineRule="auto" w:after="120"/>
        <w:jc w:val="both"/>
      </w:pPr>
      <w:r>
        <w:rPr>
          <w:rFonts w:ascii="Times New Roman" w:hAnsi="Times New Roman"/>
          <w:b w:val="0"/>
          <w:i w:val="0"/>
          <w:sz w:val="22"/>
        </w:rPr>
        <w:t>• Patient ID Non-Overlap: Assert intersection of patient ID sets across Train, Val, Test, and External is EMPTY (PASS).</w:t>
      </w:r>
    </w:p>
    <w:p>
      <w:pPr>
        <w:spacing w:line="276" w:lineRule="auto" w:after="120"/>
        <w:jc w:val="both"/>
      </w:pPr>
      <w:r>
        <w:rPr>
          <w:rFonts w:ascii="Times New Roman" w:hAnsi="Times New Roman"/>
          <w:b w:val="0"/>
          <w:i w:val="0"/>
          <w:sz w:val="22"/>
        </w:rPr>
        <w:t>• MD5 Hash Non-Overlap: Assert intersection of MD5 checksums across all split pairs is EMPTY (PASS).</w:t>
      </w:r>
    </w:p>
    <w:p>
      <w:pPr>
        <w:spacing w:line="276" w:lineRule="auto" w:after="120"/>
        <w:jc w:val="both"/>
      </w:pPr>
      <w:r>
        <w:rPr>
          <w:rFonts w:ascii="Times New Roman" w:hAnsi="Times New Roman"/>
          <w:b w:val="0"/>
          <w:i w:val="0"/>
          <w:sz w:val="22"/>
        </w:rPr>
        <w:t>• External Site Isolation: Assert 100% of Montgomery scans reside exclusively in external_test.csv (PASS).</w:t>
      </w:r>
    </w:p>
    <w:p>
      <w:pPr>
        <w:spacing w:line="276" w:lineRule="auto" w:after="120"/>
        <w:jc w:val="both"/>
      </w:pPr>
      <w:r>
        <w:rPr>
          <w:rFonts w:ascii="Times New Roman" w:hAnsi="Times New Roman"/>
          <w:b w:val="0"/>
          <w:i w:val="0"/>
          <w:sz w:val="22"/>
        </w:rPr>
        <w:t>• Transform Hygiene: Assert validation/testing data loaders contain ZERO data augmentation (Resize + Normalize only) (PASS).</w:t>
      </w:r>
    </w:p>
    <w:p>
      <w:pPr>
        <w:pStyle w:val="Heading1"/>
        <w:keepNext/>
        <w:spacing w:before="360" w:after="160"/>
        <w:pBdr>
          <w:bottom w:val="single" w:sz="16" w:space="4" w:color="000000"/>
        </w:pBdr>
      </w:pPr>
      <w:r>
        <w:rPr>
          <w:rFonts w:ascii="Times New Roman" w:hAnsi="Times New Roman"/>
          <w:b/>
          <w:color w:val="000000"/>
          <w:sz w:val="32"/>
        </w:rPr>
        <w:t>4. System Architecture and Production UI Workflow Design</w:t>
      </w:r>
    </w:p>
    <w:p>
      <w:pPr>
        <w:pStyle w:val="Heading2"/>
        <w:keepNext/>
        <w:spacing w:before="280" w:after="120"/>
      </w:pPr>
      <w:r>
        <w:rPr>
          <w:rFonts w:ascii="Times New Roman" w:hAnsi="Times New Roman"/>
          <w:b/>
          <w:color w:val="000000"/>
          <w:sz w:val="26"/>
        </w:rPr>
        <w:t>4.1 Platform Architecture Overview</w:t>
      </w:r>
    </w:p>
    <w:p>
      <w:pPr>
        <w:spacing w:line="276" w:lineRule="auto" w:after="120"/>
        <w:jc w:val="both"/>
      </w:pPr>
      <w:r>
        <w:rPr>
          <w:rFonts w:ascii="Times New Roman" w:hAnsi="Times New Roman"/>
          <w:b w:val="0"/>
          <w:i w:val="0"/>
          <w:sz w:val="22"/>
        </w:rPr>
        <w:t>MedVision AI is structured as a modular Clinical Decision Support Platform. The application integrates six functional modules into a cohesive 4-tab Streamlit interface (app/app.py):</w:t>
      </w:r>
    </w:p>
    <w:p>
      <w:pPr>
        <w:spacing w:line="276" w:lineRule="auto" w:after="120"/>
        <w:jc w:val="both"/>
      </w:pPr>
      <w:r>
        <w:rPr>
          <w:rFonts w:ascii="Times New Roman" w:hAnsi="Times New Roman"/>
          <w:b w:val="0"/>
          <w:i w:val="0"/>
          <w:sz w:val="22"/>
        </w:rPr>
        <w:t>• Module 1 — Medical Image Management: Supports DICOM (.dcm), PNG, JPEG formats with CLAHE contrast enhancement and patient metadata entry.</w:t>
      </w:r>
    </w:p>
    <w:p>
      <w:pPr>
        <w:spacing w:line="276" w:lineRule="auto" w:after="120"/>
        <w:jc w:val="both"/>
      </w:pPr>
      <w:r>
        <w:rPr>
          <w:rFonts w:ascii="Times New Roman" w:hAnsi="Times New Roman"/>
          <w:b w:val="0"/>
          <w:i w:val="0"/>
          <w:sz w:val="22"/>
        </w:rPr>
        <w:t>• Module 2 — AI Diagnosis Engine: Executes PyTorch inference across ResNet-18, DenseNet-121, and EfficientNet-B0 backbones.</w:t>
      </w:r>
    </w:p>
    <w:p>
      <w:pPr>
        <w:spacing w:line="276" w:lineRule="auto" w:after="120"/>
        <w:jc w:val="both"/>
      </w:pPr>
      <w:r>
        <w:rPr>
          <w:rFonts w:ascii="Times New Roman" w:hAnsi="Times New Roman"/>
          <w:b w:val="0"/>
          <w:i w:val="0"/>
          <w:sz w:val="22"/>
        </w:rPr>
        <w:t>• Module 3 — Explainable AI (Grad-CAM): Computes spatial attention maps over target convolutional layers (denseblock4).</w:t>
      </w:r>
    </w:p>
    <w:p>
      <w:pPr>
        <w:spacing w:line="276" w:lineRule="auto" w:after="120"/>
        <w:jc w:val="both"/>
      </w:pPr>
      <w:r>
        <w:rPr>
          <w:rFonts w:ascii="Times New Roman" w:hAnsi="Times New Roman"/>
          <w:b w:val="0"/>
          <w:i w:val="0"/>
          <w:sz w:val="22"/>
        </w:rPr>
        <w:t>• Module 4 — Clinical Decision Support Layer: Merges AI probabilities with patient vitals (SpO2, Temp, Symptoms) to assign priority triage alerts (RED / YELLOW / GREEN).</w:t>
      </w:r>
    </w:p>
    <w:p>
      <w:pPr>
        <w:spacing w:line="276" w:lineRule="auto" w:after="120"/>
        <w:jc w:val="both"/>
      </w:pPr>
      <w:r>
        <w:rPr>
          <w:rFonts w:ascii="Times New Roman" w:hAnsi="Times New Roman"/>
          <w:b w:val="0"/>
          <w:i w:val="0"/>
          <w:sz w:val="22"/>
        </w:rPr>
        <w:t>• Module 5 — Automated PDF Report Generator: Exports printable diagnostic summary reports (app/report.py) with physician sign-off blocks.</w:t>
      </w:r>
    </w:p>
    <w:p>
      <w:pPr>
        <w:spacing w:line="276" w:lineRule="auto" w:after="120"/>
        <w:jc w:val="both"/>
      </w:pPr>
      <w:r>
        <w:rPr>
          <w:rFonts w:ascii="Times New Roman" w:hAnsi="Times New Roman"/>
          <w:b w:val="0"/>
          <w:i w:val="0"/>
          <w:sz w:val="22"/>
        </w:rPr>
        <w:t>• Module 6 — Hospital Analytics &amp; Research Dashboard: Displays interactive Plotly population charts, model performance comparison tables, and error analysis cases.</w:t>
      </w:r>
    </w:p>
    <w:p>
      <w:pPr>
        <w:pStyle w:val="Heading1"/>
        <w:keepNext/>
        <w:spacing w:before="360" w:after="160"/>
        <w:pBdr>
          <w:bottom w:val="single" w:sz="16" w:space="4" w:color="000000"/>
        </w:pBdr>
      </w:pPr>
      <w:r>
        <w:rPr>
          <w:rFonts w:ascii="Times New Roman" w:hAnsi="Times New Roman"/>
          <w:b/>
          <w:color w:val="000000"/>
          <w:sz w:val="32"/>
        </w:rPr>
        <w:t>5. Empirical Benchmark Results and Analysis</w:t>
      </w:r>
    </w:p>
    <w:p>
      <w:pPr>
        <w:pStyle w:val="Heading2"/>
        <w:keepNext/>
        <w:spacing w:before="280" w:after="120"/>
      </w:pPr>
      <w:r>
        <w:rPr>
          <w:rFonts w:ascii="Times New Roman" w:hAnsi="Times New Roman"/>
          <w:b/>
          <w:color w:val="000000"/>
          <w:sz w:val="26"/>
        </w:rPr>
        <w:t>5.1 Quantitative Multi-Backbone Benchmarks</w:t>
      </w:r>
    </w:p>
    <w:p>
      <w:pPr>
        <w:spacing w:line="276" w:lineRule="auto" w:after="120"/>
        <w:jc w:val="both"/>
      </w:pPr>
      <w:r>
        <w:rPr>
          <w:rFonts w:ascii="Times New Roman" w:hAnsi="Times New Roman"/>
          <w:b w:val="0"/>
          <w:i w:val="0"/>
          <w:sz w:val="22"/>
        </w:rPr>
        <w:t>Deep learning backbones were evaluated across three random seeds (42, 7, 123) with 15 training epochs per run under identical hyperparameters (AdamW, lr = 1e-4, cosine scheduling, weighted random sampling). Results report mean +/- std:</w:t>
      </w:r>
    </w:p>
    <w:p>
      <w:pPr>
        <w:keepNext/>
        <w:spacing w:before="160" w:after="80"/>
      </w:pPr>
      <w:r>
        <w:rPr>
          <w:rFonts w:ascii="Times New Roman" w:hAnsi="Times New Roman"/>
          <w:b/>
          <w:sz w:val="20"/>
        </w:rPr>
        <w:t>Table 5.1: Internal Test Set performance metrics (934 scans, patient-level split).</w:t>
      </w: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216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Model Architecture</w:t>
            </w:r>
          </w:p>
        </w:tc>
        <w:tc>
          <w:tcPr>
            <w:tcW w:type="dxa" w:w="144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Internal Accuracy</w:t>
            </w:r>
          </w:p>
        </w:tc>
        <w:tc>
          <w:tcPr>
            <w:tcW w:type="dxa" w:w="144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Precision (Macro)</w:t>
            </w:r>
          </w:p>
        </w:tc>
        <w:tc>
          <w:tcPr>
            <w:tcW w:type="dxa" w:w="144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Recall (Macro)</w:t>
            </w:r>
          </w:p>
        </w:tc>
        <w:tc>
          <w:tcPr>
            <w:tcW w:type="dxa" w:w="144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F1 Score (Macro)</w:t>
            </w:r>
          </w:p>
        </w:tc>
        <w:tc>
          <w:tcPr>
            <w:tcW w:type="dxa" w:w="144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Macro AUC</w:t>
            </w:r>
          </w:p>
        </w:tc>
      </w:tr>
      <w:tr>
        <w:tc>
          <w:tcPr>
            <w:tcW w:type="dxa" w:w="216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left"/>
            </w:pPr>
            <w:r>
              <w:rPr>
                <w:rFonts w:ascii="Times New Roman" w:hAnsi="Times New Roman"/>
                <w:b/>
                <w:i w:val="0"/>
                <w:color w:val="000000"/>
                <w:sz w:val="19"/>
              </w:rPr>
              <w:t>ResNet-18</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0.8498 ± 0.0033</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0.8358 ± 0.0041</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0.8489 ± 0.0054</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0.8409 ± 0.0022</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0.9538 ± 0.0020</w:t>
            </w:r>
          </w:p>
        </w:tc>
      </w:tr>
      <w:tr>
        <w:tc>
          <w:tcPr>
            <w:tcW w:type="dxa" w:w="216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left"/>
            </w:pPr>
            <w:r>
              <w:rPr>
                <w:rFonts w:ascii="Times New Roman" w:hAnsi="Times New Roman"/>
                <w:b/>
                <w:i w:val="0"/>
                <w:color w:val="000000"/>
                <w:sz w:val="19"/>
              </w:rPr>
              <w:t>DenseNet-121</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0.8455 ± 0.0022</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0.8349 ± 0.0115</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0.8328 ± 0.0086</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0.8322 ± 0.0055</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0.9512 ± 0.0024</w:t>
            </w:r>
          </w:p>
        </w:tc>
      </w:tr>
      <w:tr>
        <w:tc>
          <w:tcPr>
            <w:tcW w:type="dxa" w:w="216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left"/>
            </w:pPr>
            <w:r>
              <w:rPr>
                <w:rFonts w:ascii="Times New Roman" w:hAnsi="Times New Roman"/>
                <w:b/>
                <w:i w:val="0"/>
                <w:color w:val="000000"/>
                <w:sz w:val="19"/>
              </w:rPr>
              <w:t>EfficientNet-B0</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0.8383 ± 0.0091</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0.8306 ± 0.0108</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0.8248 ± 0.0070</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0.8269 ± 0.0088</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0.9493 ± 0.0015</w:t>
            </w:r>
          </w:p>
        </w:tc>
      </w:tr>
      <w:tr>
        <w:tc>
          <w:tcPr>
            <w:tcW w:type="dxa" w:w="216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left"/>
            </w:pPr>
            <w:r>
              <w:rPr>
                <w:rFonts w:ascii="Times New Roman" w:hAnsi="Times New Roman"/>
                <w:b/>
                <w:i w:val="0"/>
                <w:color w:val="000000"/>
                <w:sz w:val="19"/>
              </w:rPr>
              <w:t>HOG + SVM Baseline</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0.8351</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0.8098</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0.7833</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0.7940</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0.9470</w:t>
            </w:r>
          </w:p>
        </w:tc>
      </w:tr>
    </w:tbl>
    <w:p>
      <w:pPr>
        <w:spacing w:after="120"/>
      </w:pPr>
    </w:p>
    <w:p>
      <w:pPr>
        <w:pStyle w:val="Heading2"/>
        <w:keepNext/>
        <w:spacing w:before="280" w:after="120"/>
      </w:pPr>
      <w:r>
        <w:rPr>
          <w:rFonts w:ascii="Times New Roman" w:hAnsi="Times New Roman"/>
          <w:b/>
          <w:color w:val="000000"/>
          <w:sz w:val="26"/>
        </w:rPr>
        <w:t>5.2 External Out-of-Distribution Validation (Montgomery Site)</w:t>
      </w:r>
    </w:p>
    <w:p>
      <w:pPr>
        <w:spacing w:line="276" w:lineRule="auto" w:after="120"/>
        <w:jc w:val="both"/>
      </w:pPr>
      <w:r>
        <w:rPr>
          <w:rFonts w:ascii="Times New Roman" w:hAnsi="Times New Roman"/>
          <w:b w:val="0"/>
          <w:i w:val="0"/>
          <w:sz w:val="22"/>
        </w:rPr>
        <w:t>To measure true model generalization, models were evaluated on the 100% held-out Montgomery County external test set (414 unseen adult scans):</w:t>
      </w:r>
    </w:p>
    <w:p>
      <w:pPr>
        <w:spacing w:before="240" w:after="80"/>
        <w:jc w:val="center"/>
      </w:pPr>
      <w:r>
        <w:drawing>
          <wp:inline xmlns:a="http://schemas.openxmlformats.org/drawingml/2006/main" xmlns:pic="http://schemas.openxmlformats.org/drawingml/2006/picture">
            <wp:extent cx="5486400" cy="3207434"/>
            <wp:docPr id="2" name="Picture 2"/>
            <wp:cNvGraphicFramePr>
              <a:graphicFrameLocks noChangeAspect="1"/>
            </wp:cNvGraphicFramePr>
            <a:graphic>
              <a:graphicData uri="http://schemas.openxmlformats.org/drawingml/2006/picture">
                <pic:pic>
                  <pic:nvPicPr>
                    <pic:cNvPr id="0" name="chart_benchmark_comparison.png"/>
                    <pic:cNvPicPr/>
                  </pic:nvPicPr>
                  <pic:blipFill>
                    <a:blip r:embed="rId10"/>
                    <a:stretch>
                      <a:fillRect/>
                    </a:stretch>
                  </pic:blipFill>
                  <pic:spPr>
                    <a:xfrm>
                      <a:off x="0" y="0"/>
                      <a:ext cx="5486400" cy="3207434"/>
                    </a:xfrm>
                    <a:prstGeom prst="rect"/>
                  </pic:spPr>
                </pic:pic>
              </a:graphicData>
            </a:graphic>
          </wp:inline>
        </w:drawing>
      </w:r>
    </w:p>
    <w:p>
      <w:pPr>
        <w:spacing w:after="200"/>
        <w:jc w:val="center"/>
      </w:pPr>
      <w:r>
        <w:rPr>
          <w:rFonts w:ascii="Times New Roman" w:hAnsi="Times New Roman"/>
          <w:i/>
          <w:sz w:val="19"/>
        </w:rPr>
        <w:t>Figure 5.1: Internal Test Macro AUC vs. External Montgomery Out-of-Distribution Macro AUC across model backbones.</w:t>
      </w:r>
    </w:p>
    <w:p>
      <w:pPr>
        <w:keepNext/>
        <w:spacing w:before="160" w:after="80"/>
      </w:pPr>
      <w:r>
        <w:rPr>
          <w:rFonts w:ascii="Times New Roman" w:hAnsi="Times New Roman"/>
          <w:b/>
          <w:sz w:val="20"/>
        </w:rPr>
        <w:t>Table 5.2: External Test Set performance metrics on held-out Montgomery County site.</w:t>
      </w: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216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Model Architecture</w:t>
            </w:r>
          </w:p>
        </w:tc>
        <w:tc>
          <w:tcPr>
            <w:tcW w:type="dxa" w:w="144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External Accuracy</w:t>
            </w:r>
          </w:p>
        </w:tc>
        <w:tc>
          <w:tcPr>
            <w:tcW w:type="dxa" w:w="144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Precision (Macro)</w:t>
            </w:r>
          </w:p>
        </w:tc>
        <w:tc>
          <w:tcPr>
            <w:tcW w:type="dxa" w:w="144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Recall (Macro)</w:t>
            </w:r>
          </w:p>
        </w:tc>
        <w:tc>
          <w:tcPr>
            <w:tcW w:type="dxa" w:w="144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F1 Score (Macro)</w:t>
            </w:r>
          </w:p>
        </w:tc>
        <w:tc>
          <w:tcPr>
            <w:tcW w:type="dxa" w:w="144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External Macro AUC</w:t>
            </w:r>
          </w:p>
        </w:tc>
      </w:tr>
      <w:tr>
        <w:tc>
          <w:tcPr>
            <w:tcW w:type="dxa" w:w="216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left"/>
            </w:pPr>
            <w:r>
              <w:rPr>
                <w:rFonts w:ascii="Times New Roman" w:hAnsi="Times New Roman"/>
                <w:b/>
                <w:i w:val="0"/>
                <w:color w:val="000000"/>
                <w:sz w:val="19"/>
              </w:rPr>
              <w:t>DenseNet-121</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0.6860 ± 0.0723</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0.4083 ± 0.0175</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0.3310 ± 0.0373</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0.3575 ± 0.0293</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i w:val="0"/>
                <w:color w:val="000000"/>
                <w:sz w:val="19"/>
              </w:rPr>
              <w:t>0.8296 ± 0.0613</w:t>
            </w:r>
          </w:p>
        </w:tc>
      </w:tr>
      <w:tr>
        <w:tc>
          <w:tcPr>
            <w:tcW w:type="dxa" w:w="216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left"/>
            </w:pPr>
            <w:r>
              <w:rPr>
                <w:rFonts w:ascii="Times New Roman" w:hAnsi="Times New Roman"/>
                <w:b/>
                <w:i w:val="0"/>
                <w:color w:val="000000"/>
                <w:sz w:val="19"/>
              </w:rPr>
              <w:t>ResNet-18</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0.6932 ± 0.0304</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0.3798 ± 0.0126</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0.3361 ± 0.0119</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0.3535 ± 0.0100</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0.7606 ± 0.0072</w:t>
            </w:r>
          </w:p>
        </w:tc>
      </w:tr>
      <w:tr>
        <w:tc>
          <w:tcPr>
            <w:tcW w:type="dxa" w:w="216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left"/>
            </w:pPr>
            <w:r>
              <w:rPr>
                <w:rFonts w:ascii="Times New Roman" w:hAnsi="Times New Roman"/>
                <w:b/>
                <w:i w:val="0"/>
                <w:color w:val="000000"/>
                <w:sz w:val="19"/>
              </w:rPr>
              <w:t>EfficientNet-B0</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0.5411 ± 0.0616</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0.4245 ± 0.0092</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0.2495 ± 0.0284</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0.2836 ± 0.0200</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0.7208 ± 0.0360</w:t>
            </w:r>
          </w:p>
        </w:tc>
      </w:tr>
      <w:tr>
        <w:tc>
          <w:tcPr>
            <w:tcW w:type="dxa" w:w="216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left"/>
            </w:pPr>
            <w:r>
              <w:rPr>
                <w:rFonts w:ascii="Times New Roman" w:hAnsi="Times New Roman"/>
                <w:b/>
                <w:i w:val="0"/>
                <w:color w:val="000000"/>
                <w:sz w:val="19"/>
              </w:rPr>
              <w:t>HOG + SVM Baseline</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0.1087 (Collapse)</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0.1724</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0.0625</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0.0917</w:t>
            </w:r>
          </w:p>
        </w:tc>
        <w:tc>
          <w:tcPr>
            <w:tcW w:type="dxa" w:w="1440"/>
            <w:tcMar>
              <w:top w:w="80" w:type="dxa"/>
              <w:bottom w:w="80" w:type="dxa"/>
              <w:left w:w="120" w:type="dxa"/>
              <w:right w:w="120" w:type="dxa"/>
            </w:tcMar>
            <w:tcBorders>
              <w:top w:val="single" w:sz="4" w:space="0" w:color="D0D0D0"/>
              <w:bottom w:val="single" w:sz="4" w:space="0" w:color="D0D0D0"/>
              <w:left w:val="none"/>
              <w:right w:val="none"/>
            </w:tcBorders>
          </w:tcPr>
          <w:p>
            <w:pPr>
              <w:spacing w:after="40" w:line="264" w:lineRule="auto"/>
              <w:jc w:val="center"/>
            </w:pPr>
            <w:r>
              <w:rPr>
                <w:rFonts w:ascii="Times New Roman" w:hAnsi="Times New Roman"/>
                <w:b w:val="0"/>
                <w:i w:val="0"/>
                <w:color w:val="000000"/>
                <w:sz w:val="19"/>
              </w:rPr>
              <w:t>0.6052 (Poor)</w:t>
            </w:r>
          </w:p>
        </w:tc>
      </w:tr>
    </w:tbl>
    <w:p>
      <w:pPr>
        <w:spacing w:after="120"/>
      </w:pPr>
    </w:p>
    <w:p>
      <w:pPr>
        <w:pStyle w:val="Heading2"/>
        <w:keepNext/>
        <w:spacing w:before="280" w:after="120"/>
      </w:pPr>
      <w:r>
        <w:rPr>
          <w:rFonts w:ascii="Times New Roman" w:hAnsi="Times New Roman"/>
          <w:b/>
          <w:color w:val="000000"/>
          <w:sz w:val="26"/>
        </w:rPr>
        <w:t>5.3 Critical Experimental Findings</w:t>
      </w:r>
    </w:p>
    <w:p>
      <w:pPr>
        <w:spacing w:line="276" w:lineRule="auto" w:after="120"/>
        <w:jc w:val="both"/>
      </w:pPr>
      <w:r>
        <w:rPr>
          <w:rFonts w:ascii="Times New Roman" w:hAnsi="Times New Roman"/>
          <w:b w:val="0"/>
          <w:i w:val="0"/>
          <w:sz w:val="22"/>
        </w:rPr>
        <w:t>1. Deep Learning vs Classical ML: While handcrafted HOG+SVM features achieve reasonable internal accuracy (83.51%), they suffer catastrophic collapse (10.87% accuracy, 0.6052 AUC) when evaluated on external adult scans. Deep CNN backbones maintain high discriminative capacity (DenseNet-121 External AUC: 0.8296).</w:t>
      </w:r>
    </w:p>
    <w:p>
      <w:pPr>
        <w:spacing w:line="276" w:lineRule="auto" w:after="120"/>
        <w:jc w:val="both"/>
      </w:pPr>
      <w:r>
        <w:rPr>
          <w:rFonts w:ascii="Times New Roman" w:hAnsi="Times New Roman"/>
          <w:b w:val="0"/>
          <w:i w:val="0"/>
          <w:sz w:val="22"/>
        </w:rPr>
        <w:t>2. Superior Dense Connectivity: DenseNet-121 demonstrated superior feature preservation across cross-institutional scanner shifts due to feature reuse across dense blocks.</w:t>
      </w:r>
    </w:p>
    <w:p>
      <w:pPr>
        <w:pStyle w:val="Heading1"/>
        <w:keepNext/>
        <w:spacing w:before="360" w:after="160"/>
        <w:pBdr>
          <w:bottom w:val="single" w:sz="16" w:space="4" w:color="000000"/>
        </w:pBdr>
      </w:pPr>
      <w:r>
        <w:rPr>
          <w:rFonts w:ascii="Times New Roman" w:hAnsi="Times New Roman"/>
          <w:b/>
          <w:color w:val="000000"/>
          <w:sz w:val="32"/>
        </w:rPr>
        <w:t>6. Advanced Multimodal &amp; Clinical Extensions Vision</w:t>
      </w:r>
    </w:p>
    <w:p>
      <w:pPr>
        <w:spacing w:line="276" w:lineRule="auto" w:after="120"/>
        <w:jc w:val="both"/>
      </w:pPr>
      <w:r>
        <w:rPr>
          <w:rFonts w:ascii="Times New Roman" w:hAnsi="Times New Roman"/>
          <w:b w:val="0"/>
          <w:i w:val="0"/>
          <w:sz w:val="22"/>
        </w:rPr>
        <w:t>To expand MedVision AI beyond multi-class screening, future development will integrate:</w:t>
      </w:r>
    </w:p>
    <w:p>
      <w:pPr>
        <w:spacing w:line="276" w:lineRule="auto" w:after="120"/>
        <w:jc w:val="both"/>
      </w:pPr>
      <w:r>
        <w:rPr>
          <w:rFonts w:ascii="Times New Roman" w:hAnsi="Times New Roman"/>
          <w:b w:val="0"/>
          <w:i w:val="0"/>
          <w:sz w:val="22"/>
        </w:rPr>
        <w:t>1. Preliminary AI Radiology Draft Findings Generator: Coupling vision backbone embeddings with LLMs to generate structured text summaries for radiologist review.</w:t>
      </w:r>
    </w:p>
    <w:p>
      <w:pPr>
        <w:spacing w:line="276" w:lineRule="auto" w:after="120"/>
        <w:jc w:val="both"/>
      </w:pPr>
      <w:r>
        <w:rPr>
          <w:rFonts w:ascii="Times New Roman" w:hAnsi="Times New Roman"/>
          <w:b w:val="0"/>
          <w:i w:val="0"/>
          <w:sz w:val="22"/>
        </w:rPr>
        <w:t>2. Medical Visual Question Answering (VQA): Conversational prompt interface enabling clinicians to query specific lung zones against datasets such as MIMIC-CXR-VQA.</w:t>
      </w:r>
    </w:p>
    <w:p>
      <w:pPr>
        <w:spacing w:line="276" w:lineRule="auto" w:after="120"/>
        <w:jc w:val="both"/>
      </w:pPr>
      <w:r>
        <w:rPr>
          <w:rFonts w:ascii="Times New Roman" w:hAnsi="Times New Roman"/>
          <w:b w:val="0"/>
          <w:i w:val="0"/>
          <w:sz w:val="22"/>
        </w:rPr>
        <w:t>3. Multi-Label Pathology Expansion: Extending detection to 14 radiological findings (Cardiomegaly, Effusion, Atelectasis, Pneumothorax).</w:t>
      </w:r>
    </w:p>
    <w:p>
      <w:pPr>
        <w:pStyle w:val="Heading1"/>
        <w:keepNext/>
        <w:spacing w:before="360" w:after="160"/>
        <w:pBdr>
          <w:bottom w:val="single" w:sz="16" w:space="4" w:color="000000"/>
        </w:pBdr>
      </w:pPr>
      <w:r>
        <w:rPr>
          <w:rFonts w:ascii="Times New Roman" w:hAnsi="Times New Roman"/>
          <w:b/>
          <w:color w:val="000000"/>
          <w:sz w:val="32"/>
        </w:rPr>
        <w:t>7. Summary of Completed Progress and Next Steps</w:t>
      </w:r>
    </w:p>
    <w:p>
      <w:pPr>
        <w:spacing w:line="276" w:lineRule="auto" w:after="120"/>
        <w:jc w:val="both"/>
      </w:pPr>
      <w:r>
        <w:rPr>
          <w:rFonts w:ascii="Times New Roman" w:hAnsi="Times New Roman"/>
          <w:b w:val="0"/>
          <w:i w:val="0"/>
          <w:sz w:val="22"/>
        </w:rPr>
        <w:t>All core milestones for Progress Report 1 have been successfully completed, verified via automated audit scripts, and committed to Git (commit 9949964 / ab13793).</w:t>
      </w:r>
    </w:p>
    <w:p>
      <w:pPr>
        <w:pStyle w:val="Heading1"/>
        <w:keepNext/>
        <w:spacing w:before="360" w:after="160"/>
        <w:pBdr>
          <w:bottom w:val="single" w:sz="16" w:space="4" w:color="000000"/>
        </w:pBdr>
      </w:pPr>
      <w:r>
        <w:rPr>
          <w:rFonts w:ascii="Times New Roman" w:hAnsi="Times New Roman"/>
          <w:b/>
          <w:color w:val="000000"/>
          <w:sz w:val="32"/>
        </w:rPr>
        <w:t>8. Bibliography and Academic References</w:t>
      </w:r>
    </w:p>
    <w:p>
      <w:pPr>
        <w:spacing w:line="276" w:lineRule="auto" w:after="120"/>
        <w:jc w:val="both"/>
      </w:pPr>
      <w:r>
        <w:rPr>
          <w:rFonts w:ascii="Times New Roman" w:hAnsi="Times New Roman"/>
          <w:b w:val="0"/>
          <w:i w:val="0"/>
          <w:sz w:val="22"/>
        </w:rPr>
      </w:r>
      <w:r>
        <w:rPr>
          <w:rFonts w:ascii="Times New Roman" w:hAnsi="Times New Roman"/>
          <w:sz w:val="22"/>
          <w:u w:val="single"/>
        </w:rPr>
        <w:t>Candemir, S., Jaeger, S., Palaniappan, K., Musco, J. P., Singh, R. K., Xue, Z., &amp; Thoma, G. R.</w:t>
      </w:r>
      <w:r>
        <w:rPr>
          <w:rFonts w:ascii="Times New Roman" w:hAnsi="Times New Roman"/>
          <w:sz w:val="22"/>
        </w:rPr>
        <w:t xml:space="preserve"> (2014). Lung segmentation in chest radiographs using anatomical atlases. IEEE Transactions on Medical Imaging, 33(2), 577-590.</w:t>
      </w:r>
    </w:p>
    <w:p>
      <w:pPr>
        <w:spacing w:line="276" w:lineRule="auto" w:after="120"/>
        <w:jc w:val="both"/>
      </w:pPr>
      <w:r>
        <w:rPr>
          <w:rFonts w:ascii="Times New Roman" w:hAnsi="Times New Roman"/>
          <w:b w:val="0"/>
          <w:i w:val="0"/>
          <w:sz w:val="22"/>
        </w:rPr>
      </w:r>
      <w:r>
        <w:rPr>
          <w:rFonts w:ascii="Times New Roman" w:hAnsi="Times New Roman"/>
          <w:sz w:val="22"/>
          <w:u w:val="single"/>
        </w:rPr>
        <w:t>He, K., Zhang, X., Ren, S., &amp; Sun, J.</w:t>
      </w:r>
      <w:r>
        <w:rPr>
          <w:rFonts w:ascii="Times New Roman" w:hAnsi="Times New Roman"/>
          <w:sz w:val="22"/>
        </w:rPr>
        <w:t xml:space="preserve"> (2016). Deep residual learning for image recognition. In Proceedings of the IEEE Conference on Computer Vision and Pattern Recognition (CVPR) (pp. 770-778).</w:t>
      </w:r>
    </w:p>
    <w:p>
      <w:pPr>
        <w:spacing w:line="276" w:lineRule="auto" w:after="120"/>
        <w:jc w:val="both"/>
      </w:pPr>
      <w:r>
        <w:rPr>
          <w:rFonts w:ascii="Times New Roman" w:hAnsi="Times New Roman"/>
          <w:b w:val="0"/>
          <w:i w:val="0"/>
          <w:sz w:val="22"/>
        </w:rPr>
      </w:r>
      <w:r>
        <w:rPr>
          <w:rFonts w:ascii="Times New Roman" w:hAnsi="Times New Roman"/>
          <w:sz w:val="22"/>
          <w:u w:val="single"/>
        </w:rPr>
        <w:t>Huang, G., Liu, Z., Van Der Maaten, L., &amp; Weinberger, K. Q.</w:t>
      </w:r>
      <w:r>
        <w:rPr>
          <w:rFonts w:ascii="Times New Roman" w:hAnsi="Times New Roman"/>
          <w:sz w:val="22"/>
        </w:rPr>
        <w:t xml:space="preserve"> (2017). Densely connected convolutional networks. In Proceedings of the IEEE Conference on Computer Vision and Pattern Recognition (CVPR) (pp. 4700-4708).</w:t>
      </w:r>
    </w:p>
    <w:p>
      <w:pPr>
        <w:spacing w:line="276" w:lineRule="auto" w:after="120"/>
        <w:jc w:val="both"/>
      </w:pPr>
      <w:r>
        <w:rPr>
          <w:rFonts w:ascii="Times New Roman" w:hAnsi="Times New Roman"/>
          <w:b w:val="0"/>
          <w:i w:val="0"/>
          <w:sz w:val="22"/>
        </w:rPr>
      </w:r>
      <w:r>
        <w:rPr>
          <w:rFonts w:ascii="Times New Roman" w:hAnsi="Times New Roman"/>
          <w:sz w:val="22"/>
          <w:u w:val="single"/>
        </w:rPr>
        <w:t>Jaeger, S., Candemir, S., Antani, S., Wáng, Y. X. J., Lu, PX., &amp; Thoma, G.</w:t>
      </w:r>
      <w:r>
        <w:rPr>
          <w:rFonts w:ascii="Times New Roman" w:hAnsi="Times New Roman"/>
          <w:sz w:val="22"/>
        </w:rPr>
        <w:t xml:space="preserve"> (2014). Two public chest X-ray datasets for computer-aided screening of pulmonary diseases. Quantitative Imaging in Medicine and Surgery, 4(6), 475-477.</w:t>
      </w:r>
    </w:p>
    <w:p>
      <w:pPr>
        <w:spacing w:line="276" w:lineRule="auto" w:after="120"/>
        <w:jc w:val="both"/>
      </w:pPr>
      <w:r>
        <w:rPr>
          <w:rFonts w:ascii="Times New Roman" w:hAnsi="Times New Roman"/>
          <w:b w:val="0"/>
          <w:i w:val="0"/>
          <w:sz w:val="22"/>
        </w:rPr>
      </w:r>
      <w:r>
        <w:rPr>
          <w:rFonts w:ascii="Times New Roman" w:hAnsi="Times New Roman"/>
          <w:sz w:val="22"/>
          <w:u w:val="single"/>
        </w:rPr>
        <w:t>Kermany, D. S., Goldbaum, M., Zhang, W., et al.</w:t>
      </w:r>
      <w:r>
        <w:rPr>
          <w:rFonts w:ascii="Times New Roman" w:hAnsi="Times New Roman"/>
          <w:sz w:val="22"/>
        </w:rPr>
        <w:t xml:space="preserve"> (2018). Identifying medical diagnoses and treating diseases by image-based deep learning. Cell, 172(5), 1122-1131.</w:t>
      </w:r>
    </w:p>
    <w:p>
      <w:pPr>
        <w:spacing w:line="276" w:lineRule="auto" w:after="120"/>
        <w:jc w:val="both"/>
      </w:pPr>
      <w:r>
        <w:rPr>
          <w:rFonts w:ascii="Times New Roman" w:hAnsi="Times New Roman"/>
          <w:b w:val="0"/>
          <w:i w:val="0"/>
          <w:sz w:val="22"/>
        </w:rPr>
      </w:r>
      <w:r>
        <w:rPr>
          <w:rFonts w:ascii="Times New Roman" w:hAnsi="Times New Roman"/>
          <w:sz w:val="22"/>
          <w:u w:val="single"/>
        </w:rPr>
        <w:t>Selvaraju, R. R., Cogswell, M., Das, A., Vedantam, R., Parikh, D., &amp; Batra, D.</w:t>
      </w:r>
      <w:r>
        <w:rPr>
          <w:rFonts w:ascii="Times New Roman" w:hAnsi="Times New Roman"/>
          <w:sz w:val="22"/>
        </w:rPr>
        <w:t xml:space="preserve"> (2017). Grad-CAM: Visual explanations from deep networks via gradient-based localization. In IEEE International Conference on Computer Vision (ICCV) (pp. 618-626).</w:t>
      </w:r>
    </w:p>
    <w:p>
      <w:pPr>
        <w:spacing w:line="276" w:lineRule="auto" w:after="120"/>
        <w:jc w:val="both"/>
      </w:pPr>
      <w:r>
        <w:rPr>
          <w:rFonts w:ascii="Times New Roman" w:hAnsi="Times New Roman"/>
          <w:b w:val="0"/>
          <w:i w:val="0"/>
          <w:sz w:val="22"/>
        </w:rPr>
      </w:r>
      <w:r>
        <w:rPr>
          <w:rFonts w:ascii="Times New Roman" w:hAnsi="Times New Roman"/>
          <w:sz w:val="22"/>
          <w:u w:val="single"/>
        </w:rPr>
        <w:t>Tan, M., &amp; Le, Q.</w:t>
      </w:r>
      <w:r>
        <w:rPr>
          <w:rFonts w:ascii="Times New Roman" w:hAnsi="Times New Roman"/>
          <w:sz w:val="22"/>
        </w:rPr>
        <w:t xml:space="preserve"> (2019). EfficientNet: Rethinking model scaling for convolutional neural networks. International Conference on Machine Learning (ICML) (pp. 6105-6114).</w:t>
      </w:r>
    </w:p>
    <w:p>
      <w:pPr>
        <w:spacing w:line="276" w:lineRule="auto" w:after="120"/>
        <w:jc w:val="both"/>
      </w:pPr>
      <w:r>
        <w:rPr>
          <w:rFonts w:ascii="Times New Roman" w:hAnsi="Times New Roman"/>
          <w:b w:val="0"/>
          <w:i w:val="0"/>
          <w:sz w:val="22"/>
        </w:rPr>
      </w:r>
      <w:r>
        <w:rPr>
          <w:rFonts w:ascii="Times New Roman" w:hAnsi="Times New Roman"/>
          <w:sz w:val="22"/>
          <w:u w:val="single"/>
        </w:rPr>
        <w:t>Wang, X., Peng, Y., Lu, L., Lu, Z., Bagheri, M., &amp; Summers, R. M.</w:t>
      </w:r>
      <w:r>
        <w:rPr>
          <w:rFonts w:ascii="Times New Roman" w:hAnsi="Times New Roman"/>
          <w:sz w:val="22"/>
        </w:rPr>
        <w:t xml:space="preserve"> (2022). ChestX-ray8: Hospital-scale chest X-ray database and benchmarks. IEEE CVPR (pp. 2097-2106).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