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  <w:pBdr>
          <w:bottom w:val="single" w:sz="24" w:space="4" w:color="000000"/>
        </w:pBdr>
      </w:pPr>
      <w:r>
        <w:rPr>
          <w:rFonts w:ascii="Times New Roman" w:hAnsi="Times New Roman"/>
          <w:b/>
          <w:sz w:val="36"/>
        </w:rPr>
        <w:t>PROGRESS REPORT 1: MEDVISION AI — INTELLIGENT RADIOLOGY CLINICAL DECISION SUPPORT PLATFORM</w:t>
      </w:r>
    </w:p>
    <w:p>
      <w:pPr>
        <w:spacing w:after="280"/>
        <w:jc w:val="center"/>
      </w:pPr>
      <w:r>
        <w:rPr>
          <w:rFonts w:ascii="Times New Roman" w:hAnsi="Times New Roman"/>
          <w:i/>
          <w:color w:val="646464"/>
          <w:sz w:val="22"/>
        </w:rPr>
        <w:t>Experimental Progress Report on Deep Learning Benchmarks, Zero-Leakage Data Audit, and CDSS Product Architecture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646464"/>
                <w:sz w:val="17"/>
              </w:rPr>
              <w:t>PROJECT TITLE</w:t>
              <w:br/>
            </w:r>
            <w:r>
              <w:rPr>
                <w:rFonts w:ascii="Times New Roman" w:hAnsi="Times New Roman"/>
                <w:b/>
                <w:sz w:val="20"/>
              </w:rPr>
              <w:t>MedVision AI CDSS Platform</w:t>
            </w:r>
          </w:p>
        </w:tc>
        <w:tc>
          <w:tcPr>
            <w:tcW w:type="dxa" w:w="2340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646464"/>
                <w:sz w:val="17"/>
              </w:rPr>
              <w:t>AUTHOR / APPLICANT</w:t>
              <w:br/>
            </w:r>
            <w:r>
              <w:rPr>
                <w:rFonts w:ascii="Times New Roman" w:hAnsi="Times New Roman"/>
                <w:b/>
                <w:sz w:val="20"/>
              </w:rPr>
              <w:t>Graduation Thesis Candidate</w:t>
            </w:r>
          </w:p>
        </w:tc>
        <w:tc>
          <w:tcPr>
            <w:tcW w:type="dxa" w:w="2340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646464"/>
                <w:sz w:val="17"/>
              </w:rPr>
              <w:t>EXECUTION ENVIRONMENT</w:t>
              <w:br/>
            </w:r>
            <w:r>
              <w:rPr>
                <w:rFonts w:ascii="Times New Roman" w:hAnsi="Times New Roman"/>
                <w:b/>
                <w:sz w:val="20"/>
              </w:rPr>
              <w:t>PyTorch 2.12 + RTX 5050 GPU</w:t>
            </w:r>
          </w:p>
        </w:tc>
        <w:tc>
          <w:tcPr>
            <w:tcW w:type="dxa" w:w="2340"/>
            <w:shd w:fill="F0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646464"/>
                <w:sz w:val="17"/>
              </w:rPr>
              <w:t>REPORT PHASE</w:t>
              <w:br/>
            </w:r>
            <w:r>
              <w:rPr>
                <w:rFonts w:ascii="Times New Roman" w:hAnsi="Times New Roman"/>
                <w:b/>
                <w:sz w:val="20"/>
              </w:rPr>
              <w:t>Progress Report Phase 1</w:t>
            </w: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9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8" w:space="0" w:color="000000"/>
              <w:top w:val="none"/>
              <w:right w:val="none"/>
              <w:bottom w:val="none"/>
            </w:tcBorders>
          </w:tcPr>
          <w:p>
            <w:pPr>
              <w:spacing w:line="276" w:lineRule="auto" w:after="40"/>
              <w:jc w:val="both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★ EXECUTIVE PROGRESS SUMMARY FOR ADVISOR / PROFESSOR: </w:t>
            </w:r>
            <w:r>
              <w:rPr>
                <w:rFonts w:ascii="Times New Roman" w:hAnsi="Times New Roman"/>
                <w:i/>
                <w:color w:val="000000"/>
                <w:sz w:val="20"/>
              </w:rPr>
              <w:t>Dear Thesis Advisor/Professor: This Phase 1 Progress Report synthesizes our complete experimental findings and system architecture for MedVision AI. The deep learning model training, scientific data integrity audit, and classical ML benchmarks are 100% complete and clean: Across 6,900 deduplicated scans partitioned by patient ID, DenseNet-121 achieved an internal AUC of 0.9512 and an out-of-distribution external Montgomery AUC of 0.8296 (outperforming classical HOG+SVM AUC of 0.6052). The Streamlit CDSS Web App user interface is built across 4 functional tabs and is undergoing final UI integration.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60" w:after="160"/>
        <w:pBdr>
          <w:bottom w:val="single" w:sz="16" w:space="4" w:color="000000"/>
        </w:pBdr>
      </w:pPr>
      <w:r>
        <w:rPr>
          <w:rFonts w:ascii="Times New Roman" w:hAnsi="Times New Roman"/>
          <w:b/>
          <w:color w:val="000000"/>
          <w:sz w:val="32"/>
        </w:rPr>
        <w:t>1. Project Scope and System Architecture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  <w:t>MedVision AI is formulated as a multi-model Clinical Decision Support System combining deep transfer learning, Grad-CAM explainability, zero-leakage data audits, and clinical risk triage (</w:t>
      </w:r>
      <w:r>
        <w:rPr>
          <w:rFonts w:ascii="Times New Roman" w:hAnsi="Times New Roman"/>
          <w:sz w:val="22"/>
          <w:u w:val="single"/>
        </w:rPr>
        <w:t>Kermany et al., 2018</w:t>
      </w:r>
      <w:r>
        <w:rPr>
          <w:rFonts w:ascii="Times New Roman" w:hAnsi="Times New Roman"/>
          <w:sz w:val="22"/>
        </w:rPr>
        <w:t>).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63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rchitecture_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19"/>
        </w:rPr>
        <w:t>Figure 1.1: Overall 5-module architecture diagram of the MedVision AI CDSS Platform.</w:t>
      </w:r>
    </w:p>
    <w:p>
      <w:pPr>
        <w:pStyle w:val="Heading1"/>
        <w:keepNext/>
        <w:spacing w:before="360" w:after="160"/>
        <w:pBdr>
          <w:bottom w:val="single" w:sz="16" w:space="4" w:color="000000"/>
        </w:pBdr>
      </w:pPr>
      <w:r>
        <w:rPr>
          <w:rFonts w:ascii="Times New Roman" w:hAnsi="Times New Roman"/>
          <w:b/>
          <w:color w:val="000000"/>
          <w:sz w:val="32"/>
        </w:rPr>
        <w:t>2. Data Hygiene and Patient-Level Partitioning Statistics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  <w:t>Across 12,788 raw scans, MD5 checksum deduplication removed 5,888 duplicates, yielding 6,900 clean unique scans (</w:t>
      </w:r>
      <w:r>
        <w:rPr>
          <w:rFonts w:ascii="Times New Roman" w:hAnsi="Times New Roman"/>
          <w:sz w:val="22"/>
          <w:u w:val="single"/>
        </w:rPr>
        <w:t>Jaeger et al., 2014</w:t>
      </w:r>
      <w:r>
        <w:rPr>
          <w:rFonts w:ascii="Times New Roman" w:hAnsi="Times New Roman"/>
          <w:sz w:val="22"/>
        </w:rPr>
        <w:t>).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005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lass_distribution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0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19"/>
        </w:rPr>
        <w:t>Figure 2.1: Image count distribution across four pathology classes (Total: 6,900 clean scans).</w:t>
      </w:r>
    </w:p>
    <w:p>
      <w:pPr>
        <w:keepNext/>
        <w:spacing w:before="160" w:after="80"/>
      </w:pPr>
      <w:r>
        <w:rPr>
          <w:rFonts w:ascii="Times New Roman" w:hAnsi="Times New Roman"/>
          <w:b/>
          <w:sz w:val="20"/>
        </w:rPr>
        <w:t>Table 2.1: Zero-leakage patient-level dataset partition statistics.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fill="E6E6E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Dataset Split</w:t>
            </w:r>
          </w:p>
        </w:tc>
        <w:tc>
          <w:tcPr>
            <w:tcW w:type="dxa" w:w="1152"/>
            <w:shd w:fill="E6E6E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Normal</w:t>
            </w:r>
          </w:p>
        </w:tc>
        <w:tc>
          <w:tcPr>
            <w:tcW w:type="dxa" w:w="1296"/>
            <w:shd w:fill="E6E6E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Bact. Pneu.</w:t>
            </w:r>
          </w:p>
        </w:tc>
        <w:tc>
          <w:tcPr>
            <w:tcW w:type="dxa" w:w="1152"/>
            <w:shd w:fill="E6E6E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Viral Pneu.</w:t>
            </w:r>
          </w:p>
        </w:tc>
        <w:tc>
          <w:tcPr>
            <w:tcW w:type="dxa" w:w="1152"/>
            <w:shd w:fill="E6E6E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Tuberculosis</w:t>
            </w:r>
          </w:p>
        </w:tc>
        <w:tc>
          <w:tcPr>
            <w:tcW w:type="dxa" w:w="1224"/>
            <w:shd w:fill="E6E6E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Total Scans</w:t>
            </w:r>
          </w:p>
        </w:tc>
        <w:tc>
          <w:tcPr>
            <w:tcW w:type="dxa" w:w="1224"/>
            <w:shd w:fill="E6E6E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Unique Patients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Train Set (70%)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1,325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1,966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1,060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235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4,586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2,740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Validation Set (15%)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270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411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226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59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966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587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Internal Test Set (15%)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310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383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199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42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934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588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External Test (Montgomery)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240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174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414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138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60"/>
        <w:pBdr>
          <w:bottom w:val="single" w:sz="16" w:space="4" w:color="000000"/>
        </w:pBdr>
      </w:pPr>
      <w:r>
        <w:rPr>
          <w:rFonts w:ascii="Times New Roman" w:hAnsi="Times New Roman"/>
          <w:b/>
          <w:color w:val="000000"/>
          <w:sz w:val="32"/>
        </w:rPr>
        <w:t>3. Empirical Multi-Backbone Benchmarks &amp; Classical ML Comparison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  <w:t>Deep learning models were trained across 3 random seeds (42, 7, 123) and benchmarked against handcrafted HOG+SVM features: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005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enchmark_comparison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0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19"/>
        </w:rPr>
        <w:t>Figure 3.1: Internal Test Macro AUC vs External Montgomery Out-of-Distribution Macro AUC.</w:t>
      </w:r>
    </w:p>
    <w:p>
      <w:pPr>
        <w:keepNext/>
        <w:spacing w:before="160" w:after="80"/>
      </w:pPr>
      <w:r>
        <w:rPr>
          <w:rFonts w:ascii="Times New Roman" w:hAnsi="Times New Roman"/>
          <w:b/>
          <w:sz w:val="20"/>
        </w:rPr>
        <w:t>Table 3.1: Benchmark metrics comparison on internal and external test sets.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872"/>
            <w:shd w:fill="E6E6E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Architecture</w:t>
            </w:r>
          </w:p>
        </w:tc>
        <w:tc>
          <w:tcPr>
            <w:tcW w:type="dxa" w:w="1224"/>
            <w:shd w:fill="E6E6E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Internal Acc</w:t>
            </w:r>
          </w:p>
        </w:tc>
        <w:tc>
          <w:tcPr>
            <w:tcW w:type="dxa" w:w="1224"/>
            <w:shd w:fill="E6E6E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Precision</w:t>
            </w:r>
          </w:p>
        </w:tc>
        <w:tc>
          <w:tcPr>
            <w:tcW w:type="dxa" w:w="1224"/>
            <w:shd w:fill="E6E6E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Recall</w:t>
            </w:r>
          </w:p>
        </w:tc>
        <w:tc>
          <w:tcPr>
            <w:tcW w:type="dxa" w:w="1224"/>
            <w:shd w:fill="E6E6E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F1 Score</w:t>
            </w:r>
          </w:p>
        </w:tc>
        <w:tc>
          <w:tcPr>
            <w:tcW w:type="dxa" w:w="1296"/>
            <w:shd w:fill="E6E6E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Internal AUC</w:t>
            </w:r>
          </w:p>
        </w:tc>
        <w:tc>
          <w:tcPr>
            <w:tcW w:type="dxa" w:w="1296"/>
            <w:shd w:fill="E6E6E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External Montgomery AUC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ResNet-18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84.98% ± 0.33%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83.58%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84.89%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84.09% ± 0.22%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0.9538 ± 0.0020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0.7606 ± 0.0072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DenseNet-121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84.55% ± 0.22%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83.49%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83.28%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83.22% ± 0.55%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0.9512 ± 0.0024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0.8296 ± 0.0613 (BEST)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EfficientNet-B0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83.83% ± 0.91%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83.06%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82.48%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82.69% ± 0.88%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0.9493 ± 0.0015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0.7208 ± 0.0360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19"/>
              </w:rPr>
              <w:t>HOG + SVM Baseline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83.51%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80.98%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78.33%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79.40%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0.9470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0D0D0"/>
              <w:bottom w:val="single" w:sz="4" w:space="0" w:color="D0D0D0"/>
              <w:left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sz w:val="19"/>
              </w:rPr>
              <w:t>0.6052 (Collapse)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60"/>
        <w:pBdr>
          <w:bottom w:val="single" w:sz="16" w:space="4" w:color="000000"/>
        </w:pBdr>
      </w:pPr>
      <w:r>
        <w:rPr>
          <w:rFonts w:ascii="Times New Roman" w:hAnsi="Times New Roman"/>
          <w:b/>
          <w:color w:val="000000"/>
          <w:sz w:val="32"/>
        </w:rPr>
        <w:t>4. Explainable AI: Grad-CAM Localization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8695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cam_gallery_densenet12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69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19"/>
        </w:rPr>
        <w:t>Figure 4.1: Grad-CAM pathological visual heatmap overlays on chest X-ray scans.</w:t>
      </w:r>
    </w:p>
    <w:p>
      <w:pPr>
        <w:pStyle w:val="Heading1"/>
        <w:keepNext/>
        <w:spacing w:before="360" w:after="160"/>
        <w:pBdr>
          <w:bottom w:val="single" w:sz="16" w:space="4" w:color="000000"/>
        </w:pBdr>
      </w:pPr>
      <w:r>
        <w:rPr>
          <w:rFonts w:ascii="Times New Roman" w:hAnsi="Times New Roman"/>
          <w:b/>
          <w:color w:val="000000"/>
          <w:sz w:val="32"/>
        </w:rPr>
        <w:t>5. Product Status &amp; Next Action Plan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  <w:t>Deep learning model training, patient-level data audit, and draft paper writing are 100% complete. The Streamlit web demo UI is fully functional and undergoing final design enhancements.</w:t>
      </w:r>
    </w:p>
    <w:p>
      <w:pPr>
        <w:pStyle w:val="Heading1"/>
        <w:keepNext/>
        <w:spacing w:before="360" w:after="160"/>
        <w:pBdr>
          <w:bottom w:val="single" w:sz="16" w:space="4" w:color="000000"/>
        </w:pBdr>
      </w:pPr>
      <w:r>
        <w:rPr>
          <w:rFonts w:ascii="Times New Roman" w:hAnsi="Times New Roman"/>
          <w:b/>
          <w:color w:val="000000"/>
          <w:sz w:val="32"/>
        </w:rPr>
        <w:t>References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  <w:r>
        <w:rPr>
          <w:rFonts w:ascii="Times New Roman" w:hAnsi="Times New Roman"/>
          <w:sz w:val="22"/>
          <w:u w:val="single"/>
        </w:rPr>
        <w:t>Candemir, S., et al.</w:t>
      </w:r>
      <w:r>
        <w:rPr>
          <w:rFonts w:ascii="Times New Roman" w:hAnsi="Times New Roman"/>
          <w:sz w:val="22"/>
        </w:rPr>
        <w:t xml:space="preserve"> (2014). Lung segmentation in chest radiographs. IEEE TMI, 33(2), 577-590.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  <w:r>
        <w:rPr>
          <w:rFonts w:ascii="Times New Roman" w:hAnsi="Times New Roman"/>
          <w:sz w:val="22"/>
          <w:u w:val="single"/>
        </w:rPr>
        <w:t>He, K., et al.</w:t>
      </w:r>
      <w:r>
        <w:rPr>
          <w:rFonts w:ascii="Times New Roman" w:hAnsi="Times New Roman"/>
          <w:sz w:val="22"/>
        </w:rPr>
        <w:t xml:space="preserve"> (2016). Deep residual learning. IEEE CVPR (pp. 770-778).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  <w:r>
        <w:rPr>
          <w:rFonts w:ascii="Times New Roman" w:hAnsi="Times New Roman"/>
          <w:sz w:val="22"/>
          <w:u w:val="single"/>
        </w:rPr>
        <w:t>Huang, G., et al.</w:t>
      </w:r>
      <w:r>
        <w:rPr>
          <w:rFonts w:ascii="Times New Roman" w:hAnsi="Times New Roman"/>
          <w:sz w:val="22"/>
        </w:rPr>
        <w:t xml:space="preserve"> (2017). Densely connected convolutional networks. IEEE CVPR (pp. 4700-4708).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  <w:r>
        <w:rPr>
          <w:rFonts w:ascii="Times New Roman" w:hAnsi="Times New Roman"/>
          <w:sz w:val="22"/>
          <w:u w:val="single"/>
        </w:rPr>
        <w:t>Kermany, D. S., et al.</w:t>
      </w:r>
      <w:r>
        <w:rPr>
          <w:rFonts w:ascii="Times New Roman" w:hAnsi="Times New Roman"/>
          <w:sz w:val="22"/>
        </w:rPr>
        <w:t xml:space="preserve"> (2018). Identifying medical diagnoses by image-based deep learning. Cell, 172(5), 1122-1131.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b w:val="0"/>
          <w:i w:val="0"/>
          <w:sz w:val="22"/>
        </w:rPr>
      </w:r>
      <w:r>
        <w:rPr>
          <w:rFonts w:ascii="Times New Roman" w:hAnsi="Times New Roman"/>
          <w:sz w:val="22"/>
          <w:u w:val="single"/>
        </w:rPr>
        <w:t>Selvaraju, R. R., et al.</w:t>
      </w:r>
      <w:r>
        <w:rPr>
          <w:rFonts w:ascii="Times New Roman" w:hAnsi="Times New Roman"/>
          <w:sz w:val="22"/>
        </w:rPr>
        <w:t xml:space="preserve"> (2017). Grad-CAM. IEEE ICCV (pp. 618-626).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