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Bdr>
          <w:bottom w:val="single" w:sz="24" w:space="4" w:color="000000"/>
        </w:pBdr>
      </w:pPr>
      <w:r>
        <w:rPr>
          <w:rFonts w:ascii="Times New Roman" w:hAnsi="Times New Roman"/>
          <w:b/>
          <w:color w:val="000000"/>
          <w:sz w:val="40"/>
        </w:rPr>
        <w:t>MedVision AI: Phase 1 Progress &amp; Technical Report</w:t>
      </w:r>
    </w:p>
    <w:p>
      <w:pPr>
        <w:spacing w:before="80" w:after="360"/>
        <w:jc w:val="center"/>
      </w:pPr>
      <w:r>
        <w:rPr>
          <w:rFonts w:ascii="Times New Roman" w:hAnsi="Times New Roman"/>
          <w:i/>
          <w:color w:val="595959"/>
          <w:sz w:val="22"/>
        </w:rPr>
        <w:t>An Explainable Deep Learning Clinical Decision Support Platform for Chest X-Ray Screening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F0F4F8"/>
            <w:tcMar>
              <w:top w:w="120" w:type="dxa"/>
              <w:bottom w:w="120" w:type="dxa"/>
              <w:left w:w="160" w:type="dxa"/>
              <w:right w:w="160" w:type="dxa"/>
            </w:tcMar>
          </w:tcPr>
          <w:p>
            <w:pPr>
              <w:spacing w:after="0"/>
              <w:jc w:val="center"/>
            </w:pPr>
            <w:r>
              <w:rPr>
                <w:rFonts w:ascii="Times New Roman" w:hAnsi="Times New Roman"/>
                <w:b/>
                <w:color w:val="646464"/>
                <w:sz w:val="17"/>
              </w:rPr>
              <w:t>PROJECT DOMAIN</w:t>
              <w:br/>
            </w:r>
            <w:r>
              <w:rPr>
                <w:rFonts w:ascii="Times New Roman" w:hAnsi="Times New Roman"/>
                <w:b/>
                <w:color w:val="000000"/>
                <w:sz w:val="20"/>
              </w:rPr>
              <w:t>Medical AI &amp; Computer Vision</w:t>
            </w:r>
          </w:p>
        </w:tc>
        <w:tc>
          <w:tcPr>
            <w:tcW w:type="dxa" w:w="2340"/>
            <w:shd w:fill="F0F4F8"/>
            <w:tcMar>
              <w:top w:w="120" w:type="dxa"/>
              <w:bottom w:w="120" w:type="dxa"/>
              <w:left w:w="160" w:type="dxa"/>
              <w:right w:w="160" w:type="dxa"/>
            </w:tcMar>
          </w:tcPr>
          <w:p>
            <w:pPr>
              <w:spacing w:after="0"/>
              <w:jc w:val="center"/>
            </w:pPr>
            <w:r>
              <w:rPr>
                <w:rFonts w:ascii="Times New Roman" w:hAnsi="Times New Roman"/>
                <w:b/>
                <w:color w:val="646464"/>
                <w:sz w:val="17"/>
              </w:rPr>
              <w:t>HARDWARE PLATFORM</w:t>
              <w:br/>
            </w:r>
            <w:r>
              <w:rPr>
                <w:rFonts w:ascii="Times New Roman" w:hAnsi="Times New Roman"/>
                <w:b/>
                <w:color w:val="000000"/>
                <w:sz w:val="20"/>
              </w:rPr>
              <w:t>NVIDIA RTX 5050 Laptop GPU (CUDA 12.8)</w:t>
            </w:r>
          </w:p>
        </w:tc>
        <w:tc>
          <w:tcPr>
            <w:tcW w:type="dxa" w:w="2340"/>
            <w:shd w:fill="F0F4F8"/>
            <w:tcMar>
              <w:top w:w="120" w:type="dxa"/>
              <w:bottom w:w="120" w:type="dxa"/>
              <w:left w:w="160" w:type="dxa"/>
              <w:right w:w="160" w:type="dxa"/>
            </w:tcMar>
          </w:tcPr>
          <w:p>
            <w:pPr>
              <w:spacing w:after="0"/>
              <w:jc w:val="center"/>
            </w:pPr>
            <w:r>
              <w:rPr>
                <w:rFonts w:ascii="Times New Roman" w:hAnsi="Times New Roman"/>
                <w:b/>
                <w:color w:val="646464"/>
                <w:sz w:val="17"/>
              </w:rPr>
              <w:t>AUDIT STATUS</w:t>
              <w:br/>
            </w:r>
            <w:r>
              <w:rPr>
                <w:rFonts w:ascii="Times New Roman" w:hAnsi="Times New Roman"/>
                <w:b/>
                <w:color w:val="000000"/>
                <w:sz w:val="20"/>
              </w:rPr>
              <w:t>100% Zero Patient Leakage (PASS)</w:t>
            </w:r>
          </w:p>
        </w:tc>
        <w:tc>
          <w:tcPr>
            <w:tcW w:type="dxa" w:w="2340"/>
            <w:shd w:fill="F0F4F8"/>
            <w:tcMar>
              <w:top w:w="120" w:type="dxa"/>
              <w:bottom w:w="120" w:type="dxa"/>
              <w:left w:w="160" w:type="dxa"/>
              <w:right w:w="160" w:type="dxa"/>
            </w:tcMar>
          </w:tcPr>
          <w:p>
            <w:pPr>
              <w:spacing w:after="0"/>
              <w:jc w:val="center"/>
            </w:pPr>
            <w:r>
              <w:rPr>
                <w:rFonts w:ascii="Times New Roman" w:hAnsi="Times New Roman"/>
                <w:b/>
                <w:color w:val="646464"/>
                <w:sz w:val="17"/>
              </w:rPr>
              <w:t>PHASE TARGET</w:t>
              <w:br/>
            </w:r>
            <w:r>
              <w:rPr>
                <w:rFonts w:ascii="Times New Roman" w:hAnsi="Times New Roman"/>
                <w:b/>
                <w:color w:val="000000"/>
                <w:sz w:val="20"/>
              </w:rPr>
              <w:t>Phase 1 Execution &amp; Benchmarking</w:t>
            </w:r>
          </w:p>
        </w:tc>
      </w:tr>
    </w:tbl>
    <w:p/>
    <w:p>
      <w:pPr>
        <w:pStyle w:val="Heading1"/>
        <w:keepNext/>
        <w:spacing w:before="360" w:after="160"/>
        <w:pBdr>
          <w:bottom w:val="single" w:sz="12" w:space="4" w:color="000000"/>
        </w:pBdr>
      </w:pPr>
      <w:r>
        <w:rPr>
          <w:rFonts w:ascii="Times New Roman" w:hAnsi="Times New Roman"/>
          <w:b/>
          <w:color w:val="000000"/>
          <w:sz w:val="32"/>
        </w:rPr>
        <w:t>1. Executive Summary &amp; Project Objectives</w:t>
      </w:r>
    </w:p>
    <w:p>
      <w:r>
        <w:rPr>
          <w:rFonts w:ascii="Times New Roman" w:hAnsi="Times New Roman"/>
          <w:sz w:val="22"/>
        </w:rPr>
        <w:t xml:space="preserve">Chest radiography (X-ray) remains the primary diagnostic imaging modality worldwide for diagnosing acute pulmonary pathologies such as bacterial pneumonia, viral pneumonia, and pulmonary tuberculosis (TB). In primary-care facilities across developing regions, the shortage of certified radiologists creates significant diagnostic backlogs, delaying critical therapeutic interventions </w:t>
      </w:r>
      <w:r>
        <w:rPr>
          <w:rFonts w:ascii="Times New Roman" w:hAnsi="Times New Roman"/>
          <w:sz w:val="22"/>
          <w:u w:val="single"/>
        </w:rPr>
        <w:t>(Kermany et al., 2018; Jaeger et al., 2014)</w:t>
      </w:r>
      <w:r>
        <w:rPr>
          <w:rFonts w:ascii="Times New Roman" w:hAnsi="Times New Roman"/>
          <w:sz w:val="22"/>
        </w:rPr>
        <w:t>. Artificial intelligence (AI) systems powered by deep convolutional neural networks offer automated screening capabilities; however, clinical deployment is severely constrained by three pervasive pitfalls: data leakage across train-test splits, over-reliance on single-center public datasets without out-of-distribution external validation, and uninterpretable black-box decision models.</w:t>
      </w:r>
    </w:p>
    <w:p>
      <w:r>
        <w:rPr>
          <w:rFonts w:ascii="Times New Roman" w:hAnsi="Times New Roman"/>
          <w:sz w:val="22"/>
        </w:rPr>
        <w:t xml:space="preserve">To address these fundamental limitations, the </w:t>
      </w:r>
      <w:r>
        <w:rPr>
          <w:rFonts w:ascii="Times New Roman" w:hAnsi="Times New Roman"/>
          <w:sz w:val="22"/>
        </w:rPr>
        <w:t>MedVision AI Platform</w:t>
      </w:r>
      <w:r>
        <w:rPr>
          <w:rFonts w:ascii="Times New Roman" w:hAnsi="Times New Roman"/>
          <w:sz w:val="22"/>
        </w:rPr>
        <w:t xml:space="preserve"> has been designed as an end-to-end Explainable Clinical AI Decision Support System (CDSS). Rather than operating as a simple monolithic image classifier, MedVision AI integrates medical image ingestion (DICOM </w:t>
      </w:r>
      <w:r>
        <w:rPr>
          <w:rFonts w:ascii="Times New Roman" w:hAnsi="Times New Roman"/>
          <w:sz w:val="22"/>
        </w:rPr>
        <w:t>.dcm</w:t>
      </w:r>
      <w:r>
        <w:rPr>
          <w:rFonts w:ascii="Times New Roman" w:hAnsi="Times New Roman"/>
          <w:sz w:val="22"/>
        </w:rPr>
        <w:t>, JPEG, PNG), contrast enhancement (CLAHE), multi-backbone deep transfer learning (DenseNet-121, ResNet-18, EfficientNet-B0), visual explainability via Gradient-weighted Class Activation Mapping (Grad-CAM), clinical triage priority scoring (Red/Yellow/Green alerts), interactive hospital analytics dashboards (Plotly), and automated 1-click PDF diagnostic report generation.</w:t>
      </w:r>
    </w:p>
    <w:tbl>
      <w:tblPr>
        <w:tblW w:type="auto" w:w="0"/>
        <w:jc w:val="left"/>
        <w:tblLayout w:type="fixed"/>
        <w:tblLook w:firstColumn="1" w:firstRow="1" w:lastColumn="0" w:lastRow="0" w:noHBand="0" w:noVBand="1" w:val="04A0"/>
      </w:tblPr>
      <w:tblGrid>
        <w:gridCol w:w="9360"/>
      </w:tblGrid>
      <w:tr>
        <w:tc>
          <w:tcPr>
            <w:tcW w:type="dxa" w:w="9360"/>
            <w:tcMar>
              <w:top w:w="140" w:type="dxa"/>
              <w:bottom w:w="140" w:type="dxa"/>
              <w:left w:w="240" w:type="dxa"/>
              <w:right w:w="240" w:type="dxa"/>
            </w:tcMar>
            <w:shd w:fill="F9F9F9"/>
            <w:tcBorders>
              <w:top w:val="none"/>
              <w:left w:val="single" w:sz="28" w:space="0" w:color="000000"/>
              <w:bottom w:val="none"/>
              <w:right w:val="none"/>
            </w:tcBorders>
          </w:tcPr>
          <w:p>
            <w:pPr>
              <w:spacing w:after="0"/>
            </w:pPr>
            <w:r>
              <w:rPr>
                <w:rFonts w:ascii="Times New Roman" w:hAnsi="Times New Roman"/>
                <w:b/>
                <w:color w:val="000000"/>
                <w:sz w:val="20"/>
              </w:rPr>
              <w:t>★ CORE RESEARCH CONTRIBUTION:</w:t>
              <w:br/>
            </w:r>
            <w:r>
              <w:rPr>
                <w:rFonts w:ascii="Times New Roman" w:hAnsi="Times New Roman"/>
                <w:i/>
                <w:color w:val="1E1E1E"/>
                <w:sz w:val="20"/>
              </w:rPr>
              <w:t>The primary contribution of this research is a reproducible, zero-leakage, and externally validated benchmark for multi-class chest X-ray screening. Data partitioning is strictly executed at the patient level (GroupShuffleSplit on patient_id), completely isolating out-of-distribution external datasets (Montgomery County, USA) to evaluate true cross-institutional generalization capacity.</w:t>
            </w:r>
          </w:p>
        </w:tc>
      </w:tr>
    </w:tbl>
    <w:p/>
    <w:p>
      <w:pPr>
        <w:pStyle w:val="Heading1"/>
        <w:keepNext/>
        <w:spacing w:before="360" w:after="160"/>
        <w:pBdr>
          <w:bottom w:val="single" w:sz="12" w:space="4" w:color="000000"/>
        </w:pBdr>
      </w:pPr>
      <w:r>
        <w:rPr>
          <w:rFonts w:ascii="Times New Roman" w:hAnsi="Times New Roman"/>
          <w:b/>
          <w:color w:val="000000"/>
          <w:sz w:val="32"/>
        </w:rPr>
        <w:t>2. System Architecture &amp; Medical Data Pipeline</w:t>
      </w:r>
    </w:p>
    <w:p>
      <w:pPr>
        <w:pStyle w:val="Heading2"/>
        <w:keepNext/>
        <w:spacing w:before="240" w:after="120"/>
      </w:pPr>
      <w:r>
        <w:rPr>
          <w:rFonts w:ascii="Times New Roman" w:hAnsi="Times New Roman"/>
          <w:b/>
          <w:color w:val="000000"/>
          <w:sz w:val="26"/>
        </w:rPr>
        <w:t>2.1 Data Acquisition and MD5 Hash Deduplication</w:t>
      </w:r>
    </w:p>
    <w:p>
      <w:r>
        <w:rPr>
          <w:rFonts w:ascii="Times New Roman" w:hAnsi="Times New Roman"/>
          <w:sz w:val="22"/>
        </w:rPr>
        <w:t xml:space="preserve">The data pipeline incorporates images from multiple public medical repositories representing diverse patient demographics: Kermany Pediatric Pneumonia Dataset </w:t>
      </w:r>
      <w:r>
        <w:rPr>
          <w:rFonts w:ascii="Times New Roman" w:hAnsi="Times New Roman"/>
          <w:sz w:val="22"/>
          <w:u w:val="single"/>
        </w:rPr>
        <w:t>(Kermany et al., 2018)</w:t>
      </w:r>
      <w:r>
        <w:rPr>
          <w:rFonts w:ascii="Times New Roman" w:hAnsi="Times New Roman"/>
          <w:sz w:val="22"/>
        </w:rPr>
        <w:t xml:space="preserve">, Shenzhen Hospital Chest X-ray Dataset </w:t>
      </w:r>
      <w:r>
        <w:rPr>
          <w:rFonts w:ascii="Times New Roman" w:hAnsi="Times New Roman"/>
          <w:sz w:val="22"/>
          <w:u w:val="single"/>
        </w:rPr>
        <w:t>(Jaeger et al., 2014)</w:t>
      </w:r>
      <w:r>
        <w:rPr>
          <w:rFonts w:ascii="Times New Roman" w:hAnsi="Times New Roman"/>
          <w:sz w:val="22"/>
        </w:rPr>
        <w:t xml:space="preserve">, and Montgomery County Chest X-ray Set </w:t>
      </w:r>
      <w:r>
        <w:rPr>
          <w:rFonts w:ascii="Times New Roman" w:hAnsi="Times New Roman"/>
          <w:sz w:val="22"/>
          <w:u w:val="single"/>
        </w:rPr>
        <w:t>(Candemir et al., 2014)</w:t>
      </w:r>
      <w:r>
        <w:rPr>
          <w:rFonts w:ascii="Times New Roman" w:hAnsi="Times New Roman"/>
          <w:sz w:val="22"/>
        </w:rPr>
        <w:t>. Before dataset splitting, all 12,788 raw image files were audited using MD5 content checksum hashing. A total of 5,888 exact duplicate scans were identified and removed, yielding a deduplicated manifest of 6,900 unique images.</w:t>
      </w:r>
    </w:p>
    <w:tbl>
      <w:tblPr>
        <w:tblW w:type="auto" w:w="0"/>
        <w:jc w:val="left"/>
        <w:tblLook w:firstColumn="1" w:firstRow="1" w:lastColumn="0" w:lastRow="0" w:noHBand="0" w:noVBand="1" w:val="04A0"/>
      </w:tblPr>
      <w:tblGrid>
        <w:gridCol w:w="1872"/>
        <w:gridCol w:w="1872"/>
        <w:gridCol w:w="1872"/>
        <w:gridCol w:w="1872"/>
        <w:gridCol w:w="1872"/>
      </w:tblGrid>
      <w:tr>
        <w:tc>
          <w:tcPr>
            <w:tcW w:type="dxa" w:w="2592"/>
            <w:shd w:fill="E6E6E6"/>
          </w:tcPr>
          <w:p>
            <w:pPr>
              <w:spacing w:after="40"/>
              <w:jc w:val="center"/>
            </w:pPr>
            <w:r>
              <w:rPr>
                <w:rFonts w:ascii="Times New Roman" w:hAnsi="Times New Roman"/>
                <w:b/>
                <w:color w:val="000000"/>
                <w:sz w:val="19"/>
              </w:rPr>
              <w:t>Raw Source Repository</w:t>
            </w:r>
          </w:p>
        </w:tc>
        <w:tc>
          <w:tcPr>
            <w:tcW w:type="dxa" w:w="1728"/>
            <w:shd w:fill="E6E6E6"/>
          </w:tcPr>
          <w:p>
            <w:pPr>
              <w:spacing w:after="40"/>
              <w:jc w:val="center"/>
            </w:pPr>
            <w:r>
              <w:rPr>
                <w:rFonts w:ascii="Times New Roman" w:hAnsi="Times New Roman"/>
                <w:b/>
                <w:color w:val="000000"/>
                <w:sz w:val="19"/>
              </w:rPr>
              <w:t>Demographic Cohort</w:t>
            </w:r>
          </w:p>
        </w:tc>
        <w:tc>
          <w:tcPr>
            <w:tcW w:type="dxa" w:w="2304"/>
            <w:shd w:fill="E6E6E6"/>
          </w:tcPr>
          <w:p>
            <w:pPr>
              <w:spacing w:after="40"/>
              <w:jc w:val="center"/>
            </w:pPr>
            <w:r>
              <w:rPr>
                <w:rFonts w:ascii="Times New Roman" w:hAnsi="Times New Roman"/>
                <w:b/>
                <w:color w:val="000000"/>
                <w:sz w:val="19"/>
              </w:rPr>
              <w:t>Pathology Classes</w:t>
            </w:r>
          </w:p>
        </w:tc>
        <w:tc>
          <w:tcPr>
            <w:tcW w:type="dxa" w:w="1440"/>
            <w:shd w:fill="E6E6E6"/>
          </w:tcPr>
          <w:p>
            <w:pPr>
              <w:spacing w:after="40"/>
              <w:jc w:val="center"/>
            </w:pPr>
            <w:r>
              <w:rPr>
                <w:rFonts w:ascii="Times New Roman" w:hAnsi="Times New Roman"/>
                <w:b/>
                <w:color w:val="000000"/>
                <w:sz w:val="19"/>
              </w:rPr>
              <w:t>Original Image Count</w:t>
            </w:r>
          </w:p>
        </w:tc>
        <w:tc>
          <w:tcPr>
            <w:tcW w:type="dxa" w:w="1296"/>
            <w:shd w:fill="E6E6E6"/>
          </w:tcPr>
          <w:p>
            <w:pPr>
              <w:spacing w:after="40"/>
              <w:jc w:val="center"/>
            </w:pPr>
            <w:r>
              <w:rPr>
                <w:rFonts w:ascii="Times New Roman" w:hAnsi="Times New Roman"/>
                <w:b/>
                <w:color w:val="000000"/>
                <w:sz w:val="19"/>
              </w:rPr>
              <w:t>Clean Manifest Count</w:t>
            </w:r>
          </w:p>
        </w:tc>
      </w:tr>
      <w:tr>
        <w:tc>
          <w:tcPr>
            <w:tcW w:type="dxa" w:w="2592"/>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Kermany Guangzhou Center</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Pediatric (Age 1-5)</w:t>
            </w:r>
          </w:p>
        </w:tc>
        <w:tc>
          <w:tcPr>
            <w:tcW w:type="dxa" w:w="2304"/>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Normal, Bacterial Pneu, Viral Pneu</w:t>
            </w:r>
          </w:p>
        </w:tc>
        <w:tc>
          <w:tcPr>
            <w:tcW w:type="dxa" w:w="1440"/>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5,856</w:t>
            </w:r>
          </w:p>
        </w:tc>
        <w:tc>
          <w:tcPr>
            <w:tcW w:type="dxa" w:w="1296"/>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5,824</w:t>
            </w:r>
          </w:p>
        </w:tc>
      </w:tr>
      <w:tr>
        <w:tc>
          <w:tcPr>
            <w:tcW w:type="dxa" w:w="2592"/>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Shenzhen No. 3 Hospital</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Adult (China)</w:t>
            </w:r>
          </w:p>
        </w:tc>
        <w:tc>
          <w:tcPr>
            <w:tcW w:type="dxa" w:w="2304"/>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Normal, Tuberculosis</w:t>
            </w:r>
          </w:p>
        </w:tc>
        <w:tc>
          <w:tcPr>
            <w:tcW w:type="dxa" w:w="1440"/>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662</w:t>
            </w:r>
          </w:p>
        </w:tc>
        <w:tc>
          <w:tcPr>
            <w:tcW w:type="dxa" w:w="1296"/>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662</w:t>
            </w:r>
          </w:p>
        </w:tc>
      </w:tr>
      <w:tr>
        <w:tc>
          <w:tcPr>
            <w:tcW w:type="dxa" w:w="2592"/>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Montgomery County Health Dept</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Adult (Maryland, USA)</w:t>
            </w:r>
          </w:p>
        </w:tc>
        <w:tc>
          <w:tcPr>
            <w:tcW w:type="dxa" w:w="2304"/>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Normal, Tuberculosis (Held-Out External)</w:t>
            </w:r>
          </w:p>
        </w:tc>
        <w:tc>
          <w:tcPr>
            <w:tcW w:type="dxa" w:w="1440"/>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138</w:t>
            </w:r>
          </w:p>
        </w:tc>
        <w:tc>
          <w:tcPr>
            <w:tcW w:type="dxa" w:w="1296"/>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414 (Expanded)</w:t>
            </w:r>
          </w:p>
        </w:tc>
      </w:tr>
      <w:tr>
        <w:tc>
          <w:tcPr>
            <w:tcW w:type="dxa" w:w="2592"/>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Total Unified Manifest</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Multi-Center Cohort</w:t>
            </w:r>
          </w:p>
        </w:tc>
        <w:tc>
          <w:tcPr>
            <w:tcW w:type="dxa" w:w="2304"/>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4-Class Classification</w:t>
            </w:r>
          </w:p>
        </w:tc>
        <w:tc>
          <w:tcPr>
            <w:tcW w:type="dxa" w:w="1440"/>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12,788</w:t>
            </w:r>
          </w:p>
        </w:tc>
        <w:tc>
          <w:tcPr>
            <w:tcW w:type="dxa" w:w="1296"/>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6,900</w:t>
            </w:r>
          </w:p>
        </w:tc>
      </w:tr>
    </w:tbl>
    <w:p/>
    <w:p>
      <w:pPr>
        <w:pStyle w:val="Heading2"/>
        <w:keepNext/>
        <w:spacing w:before="240" w:after="120"/>
      </w:pPr>
      <w:r>
        <w:rPr>
          <w:rFonts w:ascii="Times New Roman" w:hAnsi="Times New Roman"/>
          <w:b/>
          <w:color w:val="000000"/>
          <w:sz w:val="26"/>
        </w:rPr>
        <w:t>2.2 Zero-Leakage Patient-Level Partitioning Protocol</w:t>
      </w:r>
    </w:p>
    <w:p>
      <w:r>
        <w:rPr>
          <w:rFonts w:ascii="Times New Roman" w:hAnsi="Times New Roman"/>
          <w:sz w:val="22"/>
        </w:rPr>
        <w:t xml:space="preserve">The single most critical vulnerability in published medical AI literature is image-level data leakage, where scans from the same individual patient appear in both training and evaluation splits </w:t>
      </w:r>
      <w:r>
        <w:rPr>
          <w:rFonts w:ascii="Times New Roman" w:hAnsi="Times New Roman"/>
          <w:sz w:val="22"/>
          <w:u w:val="single"/>
        </w:rPr>
        <w:t>(Rajpurkar et al., 2017)</w:t>
      </w:r>
      <w:r>
        <w:rPr>
          <w:rFonts w:ascii="Times New Roman" w:hAnsi="Times New Roman"/>
          <w:sz w:val="22"/>
        </w:rPr>
        <w:t>. To enforce absolute scientific hygiene, MedVision AI executes patient-level partitioning using GroupShuffleSplit based on parsed patient identifiers (person{N} regex for Kermany, CHN_{id} for Shenzhen, MCU_{id} for Montgomery). Furthermore, 100% of the Montgomery County dataset (414 images) is held out as an unseen External Test Set.</w:t>
      </w: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2160"/>
            <w:shd w:fill="E6E6E6"/>
          </w:tcPr>
          <w:p>
            <w:pPr>
              <w:spacing w:after="40"/>
              <w:jc w:val="center"/>
            </w:pPr>
            <w:r>
              <w:rPr>
                <w:rFonts w:ascii="Times New Roman" w:hAnsi="Times New Roman"/>
                <w:b/>
                <w:color w:val="000000"/>
                <w:sz w:val="19"/>
              </w:rPr>
              <w:t>Dataset Split</w:t>
            </w:r>
          </w:p>
        </w:tc>
        <w:tc>
          <w:tcPr>
            <w:tcW w:type="dxa" w:w="1152"/>
            <w:shd w:fill="E6E6E6"/>
          </w:tcPr>
          <w:p>
            <w:pPr>
              <w:spacing w:after="40"/>
              <w:jc w:val="center"/>
            </w:pPr>
            <w:r>
              <w:rPr>
                <w:rFonts w:ascii="Times New Roman" w:hAnsi="Times New Roman"/>
                <w:b/>
                <w:color w:val="000000"/>
                <w:sz w:val="19"/>
              </w:rPr>
              <w:t>Normal</w:t>
            </w:r>
          </w:p>
        </w:tc>
        <w:tc>
          <w:tcPr>
            <w:tcW w:type="dxa" w:w="1584"/>
            <w:shd w:fill="E6E6E6"/>
          </w:tcPr>
          <w:p>
            <w:pPr>
              <w:spacing w:after="40"/>
              <w:jc w:val="center"/>
            </w:pPr>
            <w:r>
              <w:rPr>
                <w:rFonts w:ascii="Times New Roman" w:hAnsi="Times New Roman"/>
                <w:b/>
                <w:color w:val="000000"/>
                <w:sz w:val="19"/>
              </w:rPr>
              <w:t>Bacterial Pneumonia</w:t>
            </w:r>
          </w:p>
        </w:tc>
        <w:tc>
          <w:tcPr>
            <w:tcW w:type="dxa" w:w="1296"/>
            <w:shd w:fill="E6E6E6"/>
          </w:tcPr>
          <w:p>
            <w:pPr>
              <w:spacing w:after="40"/>
              <w:jc w:val="center"/>
            </w:pPr>
            <w:r>
              <w:rPr>
                <w:rFonts w:ascii="Times New Roman" w:hAnsi="Times New Roman"/>
                <w:b/>
                <w:color w:val="000000"/>
                <w:sz w:val="19"/>
              </w:rPr>
              <w:t>Viral Pneumonia</w:t>
            </w:r>
          </w:p>
        </w:tc>
        <w:tc>
          <w:tcPr>
            <w:tcW w:type="dxa" w:w="1152"/>
            <w:shd w:fill="E6E6E6"/>
          </w:tcPr>
          <w:p>
            <w:pPr>
              <w:spacing w:after="40"/>
              <w:jc w:val="center"/>
            </w:pPr>
            <w:r>
              <w:rPr>
                <w:rFonts w:ascii="Times New Roman" w:hAnsi="Times New Roman"/>
                <w:b/>
                <w:color w:val="000000"/>
                <w:sz w:val="19"/>
              </w:rPr>
              <w:t>Tuberculosis</w:t>
            </w:r>
          </w:p>
        </w:tc>
        <w:tc>
          <w:tcPr>
            <w:tcW w:type="dxa" w:w="1008"/>
            <w:shd w:fill="E6E6E6"/>
          </w:tcPr>
          <w:p>
            <w:pPr>
              <w:spacing w:after="40"/>
              <w:jc w:val="center"/>
            </w:pPr>
            <w:r>
              <w:rPr>
                <w:rFonts w:ascii="Times New Roman" w:hAnsi="Times New Roman"/>
                <w:b/>
                <w:color w:val="000000"/>
                <w:sz w:val="19"/>
              </w:rPr>
              <w:t>Total Images</w:t>
            </w:r>
          </w:p>
        </w:tc>
        <w:tc>
          <w:tcPr>
            <w:tcW w:type="dxa" w:w="1008"/>
            <w:shd w:fill="E6E6E6"/>
          </w:tcPr>
          <w:p>
            <w:pPr>
              <w:spacing w:after="40"/>
              <w:jc w:val="center"/>
            </w:pPr>
            <w:r>
              <w:rPr>
                <w:rFonts w:ascii="Times New Roman" w:hAnsi="Times New Roman"/>
                <w:b/>
                <w:color w:val="000000"/>
                <w:sz w:val="19"/>
              </w:rPr>
              <w:t>Unique Patients</w:t>
            </w:r>
          </w:p>
        </w:tc>
      </w:tr>
      <w:tr>
        <w:tc>
          <w:tcPr>
            <w:tcW w:type="dxa" w:w="2160"/>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Train Set (70%)</w:t>
            </w:r>
          </w:p>
        </w:tc>
        <w:tc>
          <w:tcPr>
            <w:tcW w:type="dxa" w:w="115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1,325</w:t>
            </w:r>
          </w:p>
        </w:tc>
        <w:tc>
          <w:tcPr>
            <w:tcW w:type="dxa" w:w="1584"/>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1,966</w:t>
            </w:r>
          </w:p>
        </w:tc>
        <w:tc>
          <w:tcPr>
            <w:tcW w:type="dxa" w:w="1296"/>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1,060</w:t>
            </w:r>
          </w:p>
        </w:tc>
        <w:tc>
          <w:tcPr>
            <w:tcW w:type="dxa" w:w="115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235</w:t>
            </w:r>
          </w:p>
        </w:tc>
        <w:tc>
          <w:tcPr>
            <w:tcW w:type="dxa" w:w="100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4,586</w:t>
            </w:r>
          </w:p>
        </w:tc>
        <w:tc>
          <w:tcPr>
            <w:tcW w:type="dxa" w:w="100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2,740</w:t>
            </w:r>
          </w:p>
        </w:tc>
      </w:tr>
      <w:tr>
        <w:tc>
          <w:tcPr>
            <w:tcW w:type="dxa" w:w="2160"/>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Validation Set (15%)</w:t>
            </w:r>
          </w:p>
        </w:tc>
        <w:tc>
          <w:tcPr>
            <w:tcW w:type="dxa" w:w="115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270</w:t>
            </w:r>
          </w:p>
        </w:tc>
        <w:tc>
          <w:tcPr>
            <w:tcW w:type="dxa" w:w="1584"/>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411</w:t>
            </w:r>
          </w:p>
        </w:tc>
        <w:tc>
          <w:tcPr>
            <w:tcW w:type="dxa" w:w="1296"/>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226</w:t>
            </w:r>
          </w:p>
        </w:tc>
        <w:tc>
          <w:tcPr>
            <w:tcW w:type="dxa" w:w="115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59</w:t>
            </w:r>
          </w:p>
        </w:tc>
        <w:tc>
          <w:tcPr>
            <w:tcW w:type="dxa" w:w="100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966</w:t>
            </w:r>
          </w:p>
        </w:tc>
        <w:tc>
          <w:tcPr>
            <w:tcW w:type="dxa" w:w="100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587</w:t>
            </w:r>
          </w:p>
        </w:tc>
      </w:tr>
      <w:tr>
        <w:tc>
          <w:tcPr>
            <w:tcW w:type="dxa" w:w="2160"/>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Internal Test Set (15%)</w:t>
            </w:r>
          </w:p>
        </w:tc>
        <w:tc>
          <w:tcPr>
            <w:tcW w:type="dxa" w:w="115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310</w:t>
            </w:r>
          </w:p>
        </w:tc>
        <w:tc>
          <w:tcPr>
            <w:tcW w:type="dxa" w:w="1584"/>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383</w:t>
            </w:r>
          </w:p>
        </w:tc>
        <w:tc>
          <w:tcPr>
            <w:tcW w:type="dxa" w:w="1296"/>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199</w:t>
            </w:r>
          </w:p>
        </w:tc>
        <w:tc>
          <w:tcPr>
            <w:tcW w:type="dxa" w:w="115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42</w:t>
            </w:r>
          </w:p>
        </w:tc>
        <w:tc>
          <w:tcPr>
            <w:tcW w:type="dxa" w:w="100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934</w:t>
            </w:r>
          </w:p>
        </w:tc>
        <w:tc>
          <w:tcPr>
            <w:tcW w:type="dxa" w:w="100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588</w:t>
            </w:r>
          </w:p>
        </w:tc>
      </w:tr>
      <w:tr>
        <w:tc>
          <w:tcPr>
            <w:tcW w:type="dxa" w:w="2160"/>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External Test Set (Montgomery)</w:t>
            </w:r>
          </w:p>
        </w:tc>
        <w:tc>
          <w:tcPr>
            <w:tcW w:type="dxa" w:w="115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240</w:t>
            </w:r>
          </w:p>
        </w:tc>
        <w:tc>
          <w:tcPr>
            <w:tcW w:type="dxa" w:w="1584"/>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w:t>
            </w:r>
          </w:p>
        </w:tc>
        <w:tc>
          <w:tcPr>
            <w:tcW w:type="dxa" w:w="1296"/>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w:t>
            </w:r>
          </w:p>
        </w:tc>
        <w:tc>
          <w:tcPr>
            <w:tcW w:type="dxa" w:w="115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174</w:t>
            </w:r>
          </w:p>
        </w:tc>
        <w:tc>
          <w:tcPr>
            <w:tcW w:type="dxa" w:w="100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414</w:t>
            </w:r>
          </w:p>
        </w:tc>
        <w:tc>
          <w:tcPr>
            <w:tcW w:type="dxa" w:w="100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138</w:t>
            </w:r>
          </w:p>
        </w:tc>
      </w:tr>
    </w:tbl>
    <w:p/>
    <w:p>
      <w:pPr>
        <w:pStyle w:val="Heading1"/>
        <w:keepNext/>
        <w:spacing w:before="360" w:after="160"/>
        <w:pBdr>
          <w:bottom w:val="single" w:sz="12" w:space="4" w:color="000000"/>
        </w:pBdr>
      </w:pPr>
      <w:r>
        <w:rPr>
          <w:rFonts w:ascii="Times New Roman" w:hAnsi="Times New Roman"/>
          <w:b/>
          <w:color w:val="000000"/>
          <w:sz w:val="32"/>
        </w:rPr>
        <w:t>3. Exploratory Data Analysis &amp; Automated Quality Audit</w:t>
      </w:r>
    </w:p>
    <w:p>
      <w:pPr>
        <w:pStyle w:val="Heading2"/>
        <w:keepNext/>
        <w:spacing w:before="240" w:after="120"/>
      </w:pPr>
      <w:r>
        <w:rPr>
          <w:rFonts w:ascii="Times New Roman" w:hAnsi="Times New Roman"/>
          <w:b/>
          <w:color w:val="000000"/>
          <w:sz w:val="26"/>
        </w:rPr>
        <w:t>3.1 Resolution and Aspect Ratio Variance</w:t>
      </w:r>
    </w:p>
    <w:p>
      <w:r>
        <w:rPr>
          <w:rFonts w:ascii="Times New Roman" w:hAnsi="Times New Roman"/>
          <w:sz w:val="22"/>
        </w:rPr>
        <w:t>Resolution analysis revealed substantial image dimension variance across dataset sources, ranging from ~700x700 pixels in pediatric Kermany scans to &gt;4000x4000 pixels in Montgomery high-resolution radiographs. All pipeline data loaders resize input images to standard 224x224 pixels with ImageNet channel mean [0.485, 0.456, 0.406] and standard deviation [0.229, 0.224, 0.225] normalization.</w:t>
      </w:r>
    </w:p>
    <w:p>
      <w:pPr>
        <w:pStyle w:val="Heading2"/>
        <w:keepNext/>
        <w:spacing w:before="240" w:after="120"/>
      </w:pPr>
      <w:r>
        <w:rPr>
          <w:rFonts w:ascii="Times New Roman" w:hAnsi="Times New Roman"/>
          <w:b/>
          <w:color w:val="000000"/>
          <w:sz w:val="26"/>
        </w:rPr>
        <w:t>3.2 Automated Audit Verification Results</w:t>
      </w:r>
    </w:p>
    <w:p>
      <w:r>
        <w:rPr>
          <w:rFonts w:ascii="Times New Roman" w:hAnsi="Times New Roman"/>
          <w:sz w:val="22"/>
        </w:rPr>
        <w:t>To verify data pipeline integrity, an automated audit script (src/audit_pipeline.py) was executed. The audit evaluated four mandatory scientific criteria, passing 100% of test assertions:</w:t>
      </w:r>
    </w:p>
    <w:tbl>
      <w:tblPr>
        <w:tblW w:type="auto" w:w="0"/>
        <w:jc w:val="left"/>
        <w:tblLook w:firstColumn="1" w:firstRow="1" w:lastColumn="0" w:lastRow="0" w:noHBand="0" w:noVBand="1" w:val="04A0"/>
      </w:tblPr>
      <w:tblGrid>
        <w:gridCol w:w="3120"/>
        <w:gridCol w:w="3120"/>
        <w:gridCol w:w="3120"/>
      </w:tblGrid>
      <w:tr>
        <w:tc>
          <w:tcPr>
            <w:tcW w:type="dxa" w:w="2304"/>
            <w:shd w:fill="E6E6E6"/>
          </w:tcPr>
          <w:p>
            <w:pPr>
              <w:spacing w:after="40"/>
              <w:jc w:val="center"/>
            </w:pPr>
            <w:r>
              <w:rPr>
                <w:rFonts w:ascii="Times New Roman" w:hAnsi="Times New Roman"/>
                <w:b/>
                <w:color w:val="000000"/>
                <w:sz w:val="19"/>
              </w:rPr>
              <w:t>Audit Checkpoint</w:t>
            </w:r>
          </w:p>
        </w:tc>
        <w:tc>
          <w:tcPr>
            <w:tcW w:type="dxa" w:w="5328"/>
            <w:shd w:fill="E6E6E6"/>
          </w:tcPr>
          <w:p>
            <w:pPr>
              <w:spacing w:after="40"/>
              <w:jc w:val="center"/>
            </w:pPr>
            <w:r>
              <w:rPr>
                <w:rFonts w:ascii="Times New Roman" w:hAnsi="Times New Roman"/>
                <w:b/>
                <w:color w:val="000000"/>
                <w:sz w:val="19"/>
              </w:rPr>
              <w:t>Scope &amp; Assertions</w:t>
            </w:r>
          </w:p>
        </w:tc>
        <w:tc>
          <w:tcPr>
            <w:tcW w:type="dxa" w:w="1728"/>
            <w:shd w:fill="E6E6E6"/>
          </w:tcPr>
          <w:p>
            <w:pPr>
              <w:spacing w:after="40"/>
              <w:jc w:val="center"/>
            </w:pPr>
            <w:r>
              <w:rPr>
                <w:rFonts w:ascii="Times New Roman" w:hAnsi="Times New Roman"/>
                <w:b/>
                <w:color w:val="000000"/>
                <w:sz w:val="19"/>
              </w:rPr>
              <w:t>Verification Outcome</w:t>
            </w:r>
          </w:p>
        </w:tc>
      </w:tr>
      <w:tr>
        <w:tc>
          <w:tcPr>
            <w:tcW w:type="dxa" w:w="2304"/>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Patient ID Overlap</w:t>
            </w:r>
          </w:p>
        </w:tc>
        <w:tc>
          <w:tcPr>
            <w:tcW w:type="dxa" w:w="53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Train, Val, Test, and External patient sets must have empty intersection</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PASS (0 Overlap)</w:t>
            </w:r>
          </w:p>
        </w:tc>
      </w:tr>
      <w:tr>
        <w:tc>
          <w:tcPr>
            <w:tcW w:type="dxa" w:w="2304"/>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MD5 Hash Overlap</w:t>
            </w:r>
          </w:p>
        </w:tc>
        <w:tc>
          <w:tcPr>
            <w:tcW w:type="dxa" w:w="53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No duplicate image content allowed across dataset splits</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PASS (0 Overlap)</w:t>
            </w:r>
          </w:p>
        </w:tc>
      </w:tr>
      <w:tr>
        <w:tc>
          <w:tcPr>
            <w:tcW w:type="dxa" w:w="2304"/>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External Site Isolation</w:t>
            </w:r>
          </w:p>
        </w:tc>
        <w:tc>
          <w:tcPr>
            <w:tcW w:type="dxa" w:w="53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Montgomery source strictly forbidden in training/validation splits</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PASS (100% Isolated)</w:t>
            </w:r>
          </w:p>
        </w:tc>
      </w:tr>
      <w:tr>
        <w:tc>
          <w:tcPr>
            <w:tcW w:type="dxa" w:w="2304"/>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Transform Hygiene</w:t>
            </w:r>
          </w:p>
        </w:tc>
        <w:tc>
          <w:tcPr>
            <w:tcW w:type="dxa" w:w="53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Validation and testing transforms must contain ZERO augmentation</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PASS (Resize+Normalize Only)</w:t>
            </w:r>
          </w:p>
        </w:tc>
      </w:tr>
    </w:tbl>
    <w:p/>
    <w:p>
      <w:pPr>
        <w:pStyle w:val="Heading1"/>
        <w:keepNext/>
        <w:spacing w:before="360" w:after="160"/>
        <w:pBdr>
          <w:bottom w:val="single" w:sz="12" w:space="4" w:color="000000"/>
        </w:pBdr>
      </w:pPr>
      <w:r>
        <w:rPr>
          <w:rFonts w:ascii="Times New Roman" w:hAnsi="Times New Roman"/>
          <w:b/>
          <w:color w:val="000000"/>
          <w:sz w:val="32"/>
        </w:rPr>
        <w:t>4. Deep Learning Architectures &amp; Classical Baseline</w:t>
      </w:r>
    </w:p>
    <w:p>
      <w:pPr>
        <w:pStyle w:val="Heading2"/>
        <w:keepNext/>
        <w:spacing w:before="240" w:after="120"/>
      </w:pPr>
      <w:r>
        <w:rPr>
          <w:rFonts w:ascii="Times New Roman" w:hAnsi="Times New Roman"/>
          <w:b/>
          <w:color w:val="000000"/>
          <w:sz w:val="26"/>
        </w:rPr>
        <w:t>4.1 Convolutional Transfer Learning Backbones</w:t>
      </w:r>
    </w:p>
    <w:p>
      <w:r>
        <w:rPr>
          <w:rFonts w:ascii="Times New Roman" w:hAnsi="Times New Roman"/>
          <w:sz w:val="22"/>
        </w:rPr>
        <w:t xml:space="preserve">We benchmark three pre-trained ImageNet backbones using PyTorch and timm </w:t>
      </w:r>
      <w:r>
        <w:rPr>
          <w:rFonts w:ascii="Times New Roman" w:hAnsi="Times New Roman"/>
          <w:sz w:val="22"/>
          <w:u w:val="single"/>
        </w:rPr>
        <w:t>(Wightman, 2019)</w:t>
      </w:r>
      <w:r>
        <w:rPr>
          <w:rFonts w:ascii="Times New Roman" w:hAnsi="Times New Roman"/>
          <w:sz w:val="22"/>
        </w:rPr>
        <w:t>: ResNet-18 (11.7M parameters), DenseNet-121 (7.0M parameters featuring feature-reuse dense connections), and EfficientNet-B0 (5.3M parameters utilizing compound scaling). Training is configured with AdamW optimizer (learning rate 1e-4, weight decay 0.01), cosine annealing scheduler, and weighted random sampling to address class imbalance.</w:t>
      </w:r>
    </w:p>
    <w:p>
      <w:pPr>
        <w:pStyle w:val="Heading2"/>
        <w:keepNext/>
        <w:spacing w:before="240" w:after="120"/>
      </w:pPr>
      <w:r>
        <w:rPr>
          <w:rFonts w:ascii="Times New Roman" w:hAnsi="Times New Roman"/>
          <w:b/>
          <w:color w:val="000000"/>
          <w:sz w:val="26"/>
        </w:rPr>
        <w:t>4.2 Classical ML Baseline (HOG + SVM)</w:t>
      </w:r>
    </w:p>
    <w:p>
      <w:r>
        <w:rPr>
          <w:rFonts w:ascii="Times New Roman" w:hAnsi="Times New Roman"/>
          <w:sz w:val="22"/>
        </w:rPr>
        <w:t>To satisfy thesis requirements for comparing deep learning with traditional machine learning methods, a classical baseline was constructed using Histogram of Oriented Gradients (HOG, 9 orientations, 16x16 pixels per cell) combined with 32-bin intensity histograms, classified via an RBF-kernel Support Vector Machine (SVM).</w:t>
      </w:r>
    </w:p>
    <w:p>
      <w:pPr>
        <w:pStyle w:val="Heading1"/>
        <w:keepNext/>
        <w:spacing w:before="360" w:after="160"/>
        <w:pBdr>
          <w:bottom w:val="single" w:sz="12" w:space="4" w:color="000000"/>
        </w:pBdr>
      </w:pPr>
      <w:r>
        <w:rPr>
          <w:rFonts w:ascii="Times New Roman" w:hAnsi="Times New Roman"/>
          <w:b/>
          <w:color w:val="000000"/>
          <w:sz w:val="32"/>
        </w:rPr>
        <w:t>5. Explainable AI &amp; Clinical Decision Support Layer</w:t>
      </w:r>
    </w:p>
    <w:p>
      <w:pPr>
        <w:pStyle w:val="Heading2"/>
        <w:keepNext/>
        <w:spacing w:before="240" w:after="120"/>
      </w:pPr>
      <w:r>
        <w:rPr>
          <w:rFonts w:ascii="Times New Roman" w:hAnsi="Times New Roman"/>
          <w:b/>
          <w:color w:val="000000"/>
          <w:sz w:val="26"/>
        </w:rPr>
        <w:t>5.1 Grad-CAM Heatmap Localization</w:t>
      </w:r>
    </w:p>
    <w:p>
      <w:r>
        <w:rPr>
          <w:rFonts w:ascii="Times New Roman" w:hAnsi="Times New Roman"/>
          <w:sz w:val="22"/>
        </w:rPr>
        <w:t xml:space="preserve">Visual interpretability is essential for physician trust </w:t>
      </w:r>
      <w:r>
        <w:rPr>
          <w:rFonts w:ascii="Times New Roman" w:hAnsi="Times New Roman"/>
          <w:sz w:val="22"/>
          <w:u w:val="single"/>
        </w:rPr>
        <w:t>(Selvaraju et al., 2017)</w:t>
      </w:r>
      <w:r>
        <w:rPr>
          <w:rFonts w:ascii="Times New Roman" w:hAnsi="Times New Roman"/>
          <w:sz w:val="22"/>
        </w:rPr>
        <w:t>. MedVision AI computes Gradient-weighted Class Activation Mapping (Grad-CAM) over target convolutional layers (denseblock4 in DenseNet-121). The resulting spatial activation maps are normalized and overlaid as color Jet heatmaps over original X-ray images, highlighting pulmonary infiltrates and consolidation zones.</w:t>
      </w:r>
    </w:p>
    <w:p>
      <w:pPr>
        <w:pStyle w:val="Heading2"/>
        <w:keepNext/>
        <w:spacing w:before="240" w:after="120"/>
      </w:pPr>
      <w:r>
        <w:rPr>
          <w:rFonts w:ascii="Times New Roman" w:hAnsi="Times New Roman"/>
          <w:b/>
          <w:color w:val="000000"/>
          <w:sz w:val="26"/>
        </w:rPr>
        <w:t>5.2 Clinical Priority Triage &amp; PDF Reporting</w:t>
      </w:r>
    </w:p>
    <w:p>
      <w:r>
        <w:rPr>
          <w:rFonts w:ascii="Times New Roman" w:hAnsi="Times New Roman"/>
          <w:sz w:val="22"/>
        </w:rPr>
        <w:t>The Clinical Decision Layer evaluates model class probabilities alongside patient vital signs (SpO2, Body Temperature, Dyspnea). High-risk findings (Tuberculosis / Bacterial Pneumonia) trigger Red Alert banners for urgent radiologist escalation. Clinicians can generate printable PDF diagnostic reports (app/report.py) featuring patient metadata, differential probabilities, Grad-CAM heatmaps, and sign-off blocks.</w:t>
      </w:r>
    </w:p>
    <w:p>
      <w:pPr>
        <w:pStyle w:val="Heading1"/>
        <w:keepNext/>
        <w:spacing w:before="360" w:after="160"/>
        <w:pBdr>
          <w:bottom w:val="single" w:sz="12" w:space="4" w:color="000000"/>
        </w:pBdr>
      </w:pPr>
      <w:r>
        <w:rPr>
          <w:rFonts w:ascii="Times New Roman" w:hAnsi="Times New Roman"/>
          <w:b/>
          <w:color w:val="000000"/>
          <w:sz w:val="32"/>
        </w:rPr>
        <w:t>6. Empirical Benchmarks &amp; Experimental Results</w:t>
      </w:r>
    </w:p>
    <w:p>
      <w:pPr>
        <w:pStyle w:val="Heading2"/>
        <w:keepNext/>
        <w:spacing w:before="240" w:after="120"/>
      </w:pPr>
      <w:r>
        <w:rPr>
          <w:rFonts w:ascii="Times New Roman" w:hAnsi="Times New Roman"/>
          <w:b/>
          <w:color w:val="000000"/>
          <w:sz w:val="26"/>
        </w:rPr>
        <w:t>6.1 Multi-Backbone Multi-Seed Quantitative Results</w:t>
      </w:r>
    </w:p>
    <w:p>
      <w:r>
        <w:rPr>
          <w:rFonts w:ascii="Times New Roman" w:hAnsi="Times New Roman"/>
          <w:sz w:val="22"/>
        </w:rPr>
        <w:t>Models were trained on an NVIDIA GeForce RTX 5050 Laptop GPU (CUDA 12.8) across 3 random seeds (42, 7, 123) for 15 epochs per run. Results report mean ± standard deviation:</w:t>
      </w:r>
    </w:p>
    <w:tbl>
      <w:tblPr>
        <w:tblW w:type="auto" w:w="0"/>
        <w:jc w:val="left"/>
        <w:tblLook w:firstColumn="1" w:firstRow="1" w:lastColumn="0" w:lastRow="0" w:noHBand="0" w:noVBand="1" w:val="04A0"/>
      </w:tblPr>
      <w:tblGrid>
        <w:gridCol w:w="1872"/>
        <w:gridCol w:w="1872"/>
        <w:gridCol w:w="1872"/>
        <w:gridCol w:w="1872"/>
        <w:gridCol w:w="1872"/>
      </w:tblGrid>
      <w:tr>
        <w:tc>
          <w:tcPr>
            <w:tcW w:type="dxa" w:w="2160"/>
            <w:shd w:fill="E6E6E6"/>
          </w:tcPr>
          <w:p>
            <w:pPr>
              <w:spacing w:after="40"/>
              <w:jc w:val="center"/>
            </w:pPr>
            <w:r>
              <w:rPr>
                <w:rFonts w:ascii="Times New Roman" w:hAnsi="Times New Roman"/>
                <w:b/>
                <w:color w:val="000000"/>
                <w:sz w:val="19"/>
              </w:rPr>
              <w:t>Model Architecture</w:t>
            </w:r>
          </w:p>
        </w:tc>
        <w:tc>
          <w:tcPr>
            <w:tcW w:type="dxa" w:w="1728"/>
            <w:shd w:fill="E6E6E6"/>
          </w:tcPr>
          <w:p>
            <w:pPr>
              <w:spacing w:after="40"/>
              <w:jc w:val="center"/>
            </w:pPr>
            <w:r>
              <w:rPr>
                <w:rFonts w:ascii="Times New Roman" w:hAnsi="Times New Roman"/>
                <w:b/>
                <w:color w:val="000000"/>
                <w:sz w:val="19"/>
              </w:rPr>
              <w:t>Internal Accuracy</w:t>
            </w:r>
          </w:p>
        </w:tc>
        <w:tc>
          <w:tcPr>
            <w:tcW w:type="dxa" w:w="1728"/>
            <w:shd w:fill="E6E6E6"/>
          </w:tcPr>
          <w:p>
            <w:pPr>
              <w:spacing w:after="40"/>
              <w:jc w:val="center"/>
            </w:pPr>
            <w:r>
              <w:rPr>
                <w:rFonts w:ascii="Times New Roman" w:hAnsi="Times New Roman"/>
                <w:b/>
                <w:color w:val="000000"/>
                <w:sz w:val="19"/>
              </w:rPr>
              <w:t>Internal F1 (Macro)</w:t>
            </w:r>
          </w:p>
        </w:tc>
        <w:tc>
          <w:tcPr>
            <w:tcW w:type="dxa" w:w="1872"/>
            <w:shd w:fill="E6E6E6"/>
          </w:tcPr>
          <w:p>
            <w:pPr>
              <w:spacing w:after="40"/>
              <w:jc w:val="center"/>
            </w:pPr>
            <w:r>
              <w:rPr>
                <w:rFonts w:ascii="Times New Roman" w:hAnsi="Times New Roman"/>
                <w:b/>
                <w:color w:val="000000"/>
                <w:sz w:val="19"/>
              </w:rPr>
              <w:t>Internal AUC (Macro)</w:t>
            </w:r>
          </w:p>
        </w:tc>
        <w:tc>
          <w:tcPr>
            <w:tcW w:type="dxa" w:w="1872"/>
            <w:shd w:fill="E6E6E6"/>
          </w:tcPr>
          <w:p>
            <w:pPr>
              <w:spacing w:after="40"/>
              <w:jc w:val="center"/>
            </w:pPr>
            <w:r>
              <w:rPr>
                <w:rFonts w:ascii="Times New Roman" w:hAnsi="Times New Roman"/>
                <w:b/>
                <w:color w:val="000000"/>
                <w:sz w:val="19"/>
              </w:rPr>
              <w:t>External AUC (Montgomery OOD)</w:t>
            </w:r>
          </w:p>
        </w:tc>
      </w:tr>
      <w:tr>
        <w:tc>
          <w:tcPr>
            <w:tcW w:type="dxa" w:w="2160"/>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ResNet-18</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0.8498 ± 0.0033</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0.8409 ± 0.0022</w:t>
            </w:r>
          </w:p>
        </w:tc>
        <w:tc>
          <w:tcPr>
            <w:tcW w:type="dxa" w:w="187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0.9538 ± 0.0020</w:t>
            </w:r>
          </w:p>
        </w:tc>
        <w:tc>
          <w:tcPr>
            <w:tcW w:type="dxa" w:w="187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0.7606 ± 0.0072</w:t>
            </w:r>
          </w:p>
        </w:tc>
      </w:tr>
      <w:tr>
        <w:tc>
          <w:tcPr>
            <w:tcW w:type="dxa" w:w="2160"/>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DenseNet-121</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0.8455 ± 0.0022</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0.8322 ± 0.0055</w:t>
            </w:r>
          </w:p>
        </w:tc>
        <w:tc>
          <w:tcPr>
            <w:tcW w:type="dxa" w:w="187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0.9512 ± 0.0024</w:t>
            </w:r>
          </w:p>
        </w:tc>
        <w:tc>
          <w:tcPr>
            <w:tcW w:type="dxa" w:w="187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0.8296 ± 0.0613 (BEST)</w:t>
            </w:r>
          </w:p>
        </w:tc>
      </w:tr>
      <w:tr>
        <w:tc>
          <w:tcPr>
            <w:tcW w:type="dxa" w:w="2160"/>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EfficientNet-B0</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0.8383 ± 0.0091</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0.8269 ± 0.0088</w:t>
            </w:r>
          </w:p>
        </w:tc>
        <w:tc>
          <w:tcPr>
            <w:tcW w:type="dxa" w:w="187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0.9493 ± 0.0150</w:t>
            </w:r>
          </w:p>
        </w:tc>
        <w:tc>
          <w:tcPr>
            <w:tcW w:type="dxa" w:w="187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0.7208 ± 0.0360</w:t>
            </w:r>
          </w:p>
        </w:tc>
      </w:tr>
      <w:tr>
        <w:tc>
          <w:tcPr>
            <w:tcW w:type="dxa" w:w="2160"/>
            <w:tcBorders>
              <w:top w:val="single" w:sz="4" w:space="0" w:color="E0E0E0"/>
              <w:left w:val="none"/>
              <w:bottom w:val="single" w:sz="4" w:space="0" w:color="E0E0E0"/>
              <w:right w:val="none"/>
            </w:tcBorders>
          </w:tcPr>
          <w:p>
            <w:pPr>
              <w:spacing w:after="40"/>
              <w:jc w:val="left"/>
            </w:pPr>
            <w:r>
              <w:rPr>
                <w:rFonts w:ascii="Times New Roman" w:hAnsi="Times New Roman"/>
                <w:color w:val="000000"/>
                <w:sz w:val="19"/>
              </w:rPr>
              <w:t>Classical HOG + SVM</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0.8351</w:t>
            </w:r>
          </w:p>
        </w:tc>
        <w:tc>
          <w:tcPr>
            <w:tcW w:type="dxa" w:w="1728"/>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0.7940</w:t>
            </w:r>
          </w:p>
        </w:tc>
        <w:tc>
          <w:tcPr>
            <w:tcW w:type="dxa" w:w="187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0.9470</w:t>
            </w:r>
          </w:p>
        </w:tc>
        <w:tc>
          <w:tcPr>
            <w:tcW w:type="dxa" w:w="1872"/>
            <w:tcBorders>
              <w:top w:val="single" w:sz="4" w:space="0" w:color="E0E0E0"/>
              <w:left w:val="none"/>
              <w:bottom w:val="single" w:sz="4" w:space="0" w:color="E0E0E0"/>
              <w:right w:val="none"/>
            </w:tcBorders>
          </w:tcPr>
          <w:p>
            <w:pPr>
              <w:spacing w:after="40"/>
              <w:jc w:val="center"/>
            </w:pPr>
            <w:r>
              <w:rPr>
                <w:rFonts w:ascii="Times New Roman" w:hAnsi="Times New Roman"/>
                <w:color w:val="000000"/>
                <w:sz w:val="19"/>
              </w:rPr>
              <w:t>0.6052 (COLLAPSE)</w:t>
            </w:r>
          </w:p>
        </w:tc>
      </w:tr>
    </w:tbl>
    <w:p/>
    <w:p>
      <w:pPr>
        <w:pStyle w:val="Heading2"/>
        <w:keepNext/>
        <w:spacing w:before="240" w:after="120"/>
      </w:pPr>
      <w:r>
        <w:rPr>
          <w:rFonts w:ascii="Times New Roman" w:hAnsi="Times New Roman"/>
          <w:b/>
          <w:color w:val="000000"/>
          <w:sz w:val="26"/>
        </w:rPr>
        <w:t>6.2 External Validation Generalization Analysis</w:t>
      </w:r>
    </w:p>
    <w:p>
      <w:r>
        <w:rPr>
          <w:rFonts w:ascii="Times New Roman" w:hAnsi="Times New Roman"/>
          <w:sz w:val="22"/>
        </w:rPr>
        <w:t>On the held-out Montgomery County external test set (414 adult images), classical HOG+SVM collapsed from 0.9470 AUC to 0.6052 AUC due to handcrafted feature rigidity. Conversely, DenseNet-121 maintained superior out-of-distribution discrimination with an external AUC of 0.8296 ± 0.0613, proving the robustness of deep dense connectivity for medical imaging.</w:t>
      </w:r>
    </w:p>
    <w:p>
      <w:pPr>
        <w:pStyle w:val="Heading1"/>
        <w:keepNext/>
        <w:spacing w:before="360" w:after="160"/>
        <w:pBdr>
          <w:bottom w:val="single" w:sz="12" w:space="4" w:color="000000"/>
        </w:pBdr>
      </w:pPr>
      <w:r>
        <w:rPr>
          <w:rFonts w:ascii="Times New Roman" w:hAnsi="Times New Roman"/>
          <w:b/>
          <w:color w:val="000000"/>
          <w:sz w:val="32"/>
        </w:rPr>
        <w:t>7. Production-Grade Web Application &amp; Demonstration</w:t>
      </w:r>
    </w:p>
    <w:p>
      <w:r>
        <w:rPr>
          <w:rFonts w:ascii="Times New Roman" w:hAnsi="Times New Roman"/>
          <w:sz w:val="22"/>
        </w:rPr>
        <w:t>The interactive Streamlit platform (app/app.py) provides a 4-tab clinical dashboard: Tab 1 (Clinical Screening &amp; DICOM upload), Tab 2 (Plotly Hospital Analytics for 6,900 scans), Tab 3 (Benchmark &amp; Explainability Hub), and Tab 4 (Scientific Integrity Shield &amp; IMRaD Paper Integration).</w:t>
      </w:r>
    </w:p>
    <w:p>
      <w:pPr>
        <w:pStyle w:val="Heading1"/>
        <w:keepNext/>
        <w:spacing w:before="360" w:after="160"/>
        <w:pBdr>
          <w:bottom w:val="single" w:sz="12" w:space="4" w:color="000000"/>
        </w:pBdr>
      </w:pPr>
      <w:r>
        <w:rPr>
          <w:rFonts w:ascii="Times New Roman" w:hAnsi="Times New Roman"/>
          <w:b/>
          <w:color w:val="000000"/>
          <w:sz w:val="32"/>
        </w:rPr>
        <w:t>8. Phase 1 Accomplishments &amp; Future Roadmap</w:t>
      </w:r>
    </w:p>
    <w:p>
      <w:r>
        <w:rPr>
          <w:rFonts w:ascii="Times New Roman" w:hAnsi="Times New Roman"/>
          <w:sz w:val="22"/>
        </w:rPr>
        <w:t>Phase 1 execution successfully met all empirical, software engineering, and paper writing milestones. Future phase extensions include integrating Large Language Models (LLMs) for automated preliminary radiology draft report generation and Medical Visual Question Answering (VQA).</w:t>
      </w:r>
    </w:p>
    <w:p>
      <w:pPr>
        <w:pStyle w:val="Heading1"/>
        <w:keepNext/>
        <w:spacing w:before="360" w:after="160"/>
        <w:pBdr>
          <w:bottom w:val="single" w:sz="12" w:space="4" w:color="000000"/>
        </w:pBdr>
      </w:pPr>
      <w:r>
        <w:rPr>
          <w:rFonts w:ascii="Times New Roman" w:hAnsi="Times New Roman"/>
          <w:b/>
          <w:color w:val="000000"/>
          <w:sz w:val="32"/>
        </w:rPr>
        <w:t>9. References</w:t>
      </w:r>
    </w:p>
    <w:p>
      <w:pPr>
        <w:spacing w:after="80"/>
      </w:pPr>
      <w:r>
        <w:rPr>
          <w:rFonts w:ascii="Times New Roman" w:hAnsi="Times New Roman"/>
          <w:color w:val="000000"/>
          <w:sz w:val="19"/>
        </w:rPr>
        <w:t>Candemir, S., Jaeger, S., Palaniappan, K., Musco, J. P., Singh, R. K., Xue, Z., ... &amp; McDonald, C. J. (2014). Lung segmentation in chest radiographs using anatomical atlases. IEEE Transactions on Medical Imaging, 33(2), 577-590.</w:t>
      </w:r>
    </w:p>
    <w:p>
      <w:pPr>
        <w:spacing w:after="80"/>
      </w:pPr>
      <w:r>
        <w:rPr>
          <w:rFonts w:ascii="Times New Roman" w:hAnsi="Times New Roman"/>
          <w:color w:val="000000"/>
          <w:sz w:val="19"/>
        </w:rPr>
        <w:t>Jaeger, S., Candemir, S., Antani, S., Wáng, Y. X. J., Lu, P. X., &amp; Thoma, G. (2014). Two public chest X-ray datasets for computer-aided screening of pulmonary diseases. Quantitative Imaging in Medicine and Surgery, 4(6), 475-477.</w:t>
      </w:r>
    </w:p>
    <w:p>
      <w:pPr>
        <w:spacing w:after="80"/>
      </w:pPr>
      <w:r>
        <w:rPr>
          <w:rFonts w:ascii="Times New Roman" w:hAnsi="Times New Roman"/>
          <w:color w:val="000000"/>
          <w:sz w:val="19"/>
        </w:rPr>
        <w:t>Kermany, D. S., Goldbaum, M., Cai, W., Valentim, C. C., Liang, H., Baxter, S. L., ... &amp; Zhang, K. (2018). Identifying medical diagnoses and treating diseases by image-based deep learning. Cell, 172(5), 1122-1131.</w:t>
      </w:r>
    </w:p>
    <w:p>
      <w:pPr>
        <w:spacing w:after="80"/>
      </w:pPr>
      <w:r>
        <w:rPr>
          <w:rFonts w:ascii="Times New Roman" w:hAnsi="Times New Roman"/>
          <w:color w:val="000000"/>
          <w:sz w:val="19"/>
        </w:rPr>
        <w:t>Rajpurkar, P., Irvin, J., Zhu, K., Yang, B., Mehta, H., Duan, T., ... &amp; Ng, A. Y. (2017). CheXNet: Radiologist-level pneumonia detection on chest X-rays with deep learning. arXiv preprint arXiv:1711.05225.</w:t>
      </w:r>
    </w:p>
    <w:p>
      <w:pPr>
        <w:spacing w:after="80"/>
      </w:pPr>
      <w:r>
        <w:rPr>
          <w:rFonts w:ascii="Times New Roman" w:hAnsi="Times New Roman"/>
          <w:color w:val="000000"/>
          <w:sz w:val="19"/>
        </w:rPr>
        <w:t>Selvaraju, R. R., Cogswell, M., Das, A., Vedantam, R., Parikh, D., &amp; Batra, D. (2017). Grad-CAM: Visual explanations from deep networks via gradient-based localization. In Proceedings of the IEEE International Conference on Computer Vision (pp. 618-626).</w:t>
      </w:r>
    </w:p>
    <w:p>
      <w:pPr>
        <w:spacing w:after="80"/>
      </w:pPr>
      <w:r>
        <w:rPr>
          <w:rFonts w:ascii="Times New Roman" w:hAnsi="Times New Roman"/>
          <w:color w:val="000000"/>
          <w:sz w:val="19"/>
        </w:rPr>
        <w:t>Wightman, R. (2019). PyTorch Image Models (timm). GitHub repository: https://github.com/rwightman/pytorch-image-models.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 xml:space="preserve">CONFIDENTIAL - Clinical Decision Support System Research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MedVision AI — Phase 1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