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Bdr>
          <w:bottom w:val="single" w:sz="24" w:space="4" w:color="000000"/>
        </w:pBdr>
      </w:pPr>
      <w:r>
        <w:rPr>
          <w:rFonts w:ascii="Times New Roman" w:hAnsi="Times New Roman"/>
          <w:b/>
          <w:sz w:val="36"/>
        </w:rPr>
        <w:t>BÁO CÁO TIẾN ĐỘ ĐỢT 1: HỆ THỐNG AI ĐA MÔ HÌNH HỖ TRỢ QUYẾT ĐỊNH LÂM SÀNG TRONG PHÂN TÍCH ẢNH X-QUANG NGỰC (MEDVISION AI)</w:t>
      </w:r>
    </w:p>
    <w:p>
      <w:pPr>
        <w:spacing w:after="280"/>
        <w:jc w:val="center"/>
      </w:pPr>
      <w:r>
        <w:rPr>
          <w:rFonts w:ascii="Times New Roman" w:hAnsi="Times New Roman"/>
          <w:i/>
          <w:color w:val="646464"/>
          <w:sz w:val="22"/>
        </w:rPr>
        <w:t>Báo cáo Giải trình Tiến độ Thực nghiệm Mô hình Deep Learning, Kiểm thuật Chống Rò rỉ Bệnh nhân và Kiến trúc Sản phẩm CDSS</w:t>
      </w:r>
    </w:p>
    <w:tbl>
      <w:tblPr>
        <w:tblW w:type="auto" w:w="0"/>
        <w:jc w:val="left"/>
        <w:tblLook w:firstColumn="1" w:firstRow="1" w:lastColumn="0" w:lastRow="0" w:noHBand="0" w:noVBand="1" w:val="04A0"/>
      </w:tblPr>
      <w:tblGrid>
        <w:gridCol w:w="2340"/>
        <w:gridCol w:w="2340"/>
        <w:gridCol w:w="2340"/>
        <w:gridCol w:w="2340"/>
      </w:tblGrid>
      <w:tr>
        <w:tc>
          <w:tcPr>
            <w:tcW w:type="dxa" w:w="2340"/>
            <w:shd w:fill="F0F4F8"/>
            <w:tcMar>
              <w:top w:w="100" w:type="dxa"/>
              <w:bottom w:w="100" w:type="dxa"/>
              <w:left w:w="100" w:type="dxa"/>
              <w:right w:w="100" w:type="dxa"/>
            </w:tcMar>
          </w:tcPr>
          <w:p>
            <w:pPr>
              <w:jc w:val="center"/>
            </w:pPr>
            <w:r>
              <w:rPr>
                <w:rFonts w:ascii="Times New Roman" w:hAnsi="Times New Roman"/>
                <w:b/>
                <w:color w:val="646464"/>
                <w:sz w:val="17"/>
              </w:rPr>
              <w:t>TÊN ĐỀ TÀI</w:t>
              <w:br/>
            </w:r>
            <w:r>
              <w:rPr>
                <w:rFonts w:ascii="Times New Roman" w:hAnsi="Times New Roman"/>
                <w:b/>
                <w:sz w:val="20"/>
              </w:rPr>
              <w:t>MedVision AI CDSS Platform</w:t>
            </w:r>
          </w:p>
        </w:tc>
        <w:tc>
          <w:tcPr>
            <w:tcW w:type="dxa" w:w="2340"/>
            <w:shd w:fill="F0F4F8"/>
            <w:tcMar>
              <w:top w:w="100" w:type="dxa"/>
              <w:bottom w:w="100" w:type="dxa"/>
              <w:left w:w="100" w:type="dxa"/>
              <w:right w:w="100" w:type="dxa"/>
            </w:tcMar>
          </w:tcPr>
          <w:p>
            <w:pPr>
              <w:jc w:val="center"/>
            </w:pPr>
            <w:r>
              <w:rPr>
                <w:rFonts w:ascii="Times New Roman" w:hAnsi="Times New Roman"/>
                <w:b/>
                <w:color w:val="646464"/>
                <w:sz w:val="17"/>
              </w:rPr>
              <w:t>NGƯỜI THỰC HIỆN</w:t>
              <w:br/>
            </w:r>
            <w:r>
              <w:rPr>
                <w:rFonts w:ascii="Times New Roman" w:hAnsi="Times New Roman"/>
                <w:b/>
                <w:sz w:val="20"/>
              </w:rPr>
              <w:t>Sinh viên Bảo vệ Đồ án</w:t>
            </w:r>
          </w:p>
        </w:tc>
        <w:tc>
          <w:tcPr>
            <w:tcW w:type="dxa" w:w="2340"/>
            <w:shd w:fill="F0F4F8"/>
            <w:tcMar>
              <w:top w:w="100" w:type="dxa"/>
              <w:bottom w:w="100" w:type="dxa"/>
              <w:left w:w="100" w:type="dxa"/>
              <w:right w:w="100" w:type="dxa"/>
            </w:tcMar>
          </w:tcPr>
          <w:p>
            <w:pPr>
              <w:jc w:val="center"/>
            </w:pPr>
            <w:r>
              <w:rPr>
                <w:rFonts w:ascii="Times New Roman" w:hAnsi="Times New Roman"/>
                <w:b/>
                <w:color w:val="646464"/>
                <w:sz w:val="17"/>
              </w:rPr>
              <w:t>MÔI TRƯỜNG THỰC NGHIỆM</w:t>
              <w:br/>
            </w:r>
            <w:r>
              <w:rPr>
                <w:rFonts w:ascii="Times New Roman" w:hAnsi="Times New Roman"/>
                <w:b/>
                <w:sz w:val="20"/>
              </w:rPr>
              <w:t>PyTorch 2.12 + RTX 5050 GPU</w:t>
            </w:r>
          </w:p>
        </w:tc>
        <w:tc>
          <w:tcPr>
            <w:tcW w:type="dxa" w:w="2340"/>
            <w:shd w:fill="F0F4F8"/>
            <w:tcMar>
              <w:top w:w="100" w:type="dxa"/>
              <w:bottom w:w="100" w:type="dxa"/>
              <w:left w:w="100" w:type="dxa"/>
              <w:right w:w="100" w:type="dxa"/>
            </w:tcMar>
          </w:tcPr>
          <w:p>
            <w:pPr>
              <w:jc w:val="center"/>
            </w:pPr>
            <w:r>
              <w:rPr>
                <w:rFonts w:ascii="Times New Roman" w:hAnsi="Times New Roman"/>
                <w:b/>
                <w:color w:val="646464"/>
                <w:sz w:val="17"/>
              </w:rPr>
              <w:t>ĐỢT BÁO CÁO</w:t>
              <w:br/>
            </w:r>
            <w:r>
              <w:rPr>
                <w:rFonts w:ascii="Times New Roman" w:hAnsi="Times New Roman"/>
                <w:b/>
                <w:sz w:val="20"/>
              </w:rPr>
              <w:t>Báo cáo Tiến độ Đợt 1</w:t>
            </w:r>
          </w:p>
        </w:tc>
      </w:tr>
    </w:tbl>
    <w:p>
      <w:pPr>
        <w:spacing w:after="200"/>
      </w:pPr>
    </w:p>
    <w:tbl>
      <w:tblPr>
        <w:tblW w:type="auto" w:w="0"/>
        <w:jc w:val="left"/>
        <w:tblLook w:firstColumn="1" w:firstRow="1" w:lastColumn="0" w:lastRow="0" w:noHBand="0" w:noVBand="1" w:val="04A0"/>
      </w:tblPr>
      <w:tblGrid>
        <w:gridCol w:w="9360"/>
      </w:tblGrid>
      <w:tr>
        <w:tc>
          <w:tcPr>
            <w:tcW w:type="dxa" w:w="9360"/>
            <w:shd w:fill="F9F9F9"/>
            <w:tcMar>
              <w:top w:w="140" w:type="dxa"/>
              <w:bottom w:w="140" w:type="dxa"/>
              <w:left w:w="200" w:type="dxa"/>
              <w:right w:w="200" w:type="dxa"/>
            </w:tcMar>
            <w:tcBorders>
              <w:left w:val="single" w:sz="28" w:space="0" w:color="000000"/>
              <w:top w:val="none"/>
              <w:right w:val="none"/>
              <w:bottom w:val="none"/>
            </w:tcBorders>
          </w:tcPr>
          <w:p>
            <w:pPr>
              <w:spacing w:line="276" w:lineRule="auto" w:after="40"/>
              <w:jc w:val="both"/>
            </w:pPr>
            <w:r>
              <w:rPr>
                <w:rFonts w:ascii="Times New Roman" w:hAnsi="Times New Roman"/>
                <w:b/>
                <w:color w:val="000000"/>
                <w:sz w:val="20"/>
              </w:rPr>
              <w:t xml:space="preserve">★ TÓM TẮT TIẾN ĐỘ THỰC NGHIỆM (DÀNH CHO GIÁO SƯ HƯỚNG DẪN): </w:t>
            </w:r>
            <w:r>
              <w:rPr>
                <w:rFonts w:ascii="Times New Roman" w:hAnsi="Times New Roman"/>
                <w:i/>
                <w:color w:val="000000"/>
                <w:sz w:val="20"/>
              </w:rPr>
              <w:t>Kính gửi Thầy/Cô Hướng dẫn: Báo cáo đợt 1 này tổng hợp toàn bộ kết quả thực nghiệm mô hình và kiến trúc hệ thống MedVision AI tính đến thời điểm hiện tại. Phần mô hình Deep Learning và kiểm thuật khoa học đã hoàn thành 100%: Chúng em đã tiền xử lý 6.900 ảnh X-quang sạch, thực hiện chia tập ở mức bệnh nhân (patient-level zero-leakage split) và kiểm thử độc lập trên bộ ảnh ngoạt viện Montgomery (OOD test set). Các mô hình ResNet-18, DenseNet-121, EfficientNet-B0 đạt AUC nội bộ &gt; 0.95 và AUC ngoại viện 0.83 (vượt trội so với baseline HOG+SVM 0.60). Phần giao diện ứng dụng Web CDSS đã xây dựng khung 4-Tab chính và hiện đang trong giai đoạn hoàn thiện giao diện demo lâm sàng hoàn chỉnh.</w:t>
            </w:r>
          </w:p>
        </w:tc>
      </w:tr>
    </w:tbl>
    <w:p>
      <w:pPr>
        <w:spacing w:after="80"/>
      </w:pPr>
    </w:p>
    <w:p>
      <w:pPr>
        <w:pStyle w:val="Heading1"/>
        <w:keepNext/>
        <w:spacing w:before="360" w:after="160"/>
        <w:pBdr>
          <w:bottom w:val="single" w:sz="16" w:space="4" w:color="000000"/>
        </w:pBdr>
      </w:pPr>
      <w:r>
        <w:rPr>
          <w:rFonts w:ascii="Times New Roman" w:hAnsi="Times New Roman"/>
          <w:b/>
          <w:color w:val="000000"/>
          <w:sz w:val="32"/>
        </w:rPr>
        <w:t>1. Tổng Quan Tiến Độ Dự Án và Mục Tiêu</w:t>
      </w:r>
    </w:p>
    <w:p>
      <w:pPr>
        <w:spacing w:line="276" w:lineRule="auto" w:after="120"/>
        <w:jc w:val="both"/>
      </w:pPr>
      <w:r>
        <w:rPr>
          <w:rFonts w:ascii="Times New Roman" w:hAnsi="Times New Roman"/>
          <w:b w:val="0"/>
          <w:i w:val="0"/>
          <w:sz w:val="22"/>
        </w:rPr>
        <w:t>Trong nghiên cứu y tế, việc áp dụng các mô hình học sâu vào phân tích ảnh X-quang ngực thường gặp phải khó khăn lớn về hiện tượng rò rỉ dữ liệu (data leakage) do chia tập ở mức ảnh thay vì mức bệnh nhân, cũng như thiếu tính giải thích (black-box model) và khả năng tổng quát hóa trên dữ liệu ngoại viện (</w:t>
      </w:r>
      <w:r>
        <w:rPr>
          <w:rFonts w:ascii="Times New Roman" w:hAnsi="Times New Roman"/>
          <w:sz w:val="22"/>
          <w:u w:val="single"/>
        </w:rPr>
        <w:t>Kermany et al., 2018</w:t>
      </w:r>
      <w:r>
        <w:rPr>
          <w:rFonts w:ascii="Times New Roman" w:hAnsi="Times New Roman"/>
          <w:sz w:val="22"/>
        </w:rPr>
        <w:t>).</w:t>
      </w:r>
    </w:p>
    <w:p>
      <w:pPr>
        <w:spacing w:line="276" w:lineRule="auto" w:after="120"/>
        <w:jc w:val="both"/>
      </w:pPr>
      <w:r>
        <w:rPr>
          <w:rFonts w:ascii="Times New Roman" w:hAnsi="Times New Roman"/>
          <w:b w:val="0"/>
          <w:i w:val="0"/>
          <w:sz w:val="22"/>
        </w:rPr>
        <w:t>Để giải quyết bài toán này, đề tài MedVision AI được định vị không chỉ dừng lại ở một mô hình CNN phân loại đơn thuần, mà là một **Hệ thống AI Đa mô hình Hỗ trợ Phát hiện Bất thường, Giải thích Kết quả và Hỗ trợ Quyết định Lâm sàng từ Ảnh X-quang Ngực** hoàn chỉnh.</w:t>
      </w:r>
    </w:p>
    <w:p>
      <w:pPr>
        <w:spacing w:before="200" w:after="80"/>
        <w:jc w:val="center"/>
      </w:pPr>
      <w:r>
        <w:drawing>
          <wp:inline xmlns:a="http://schemas.openxmlformats.org/drawingml/2006/main" xmlns:pic="http://schemas.openxmlformats.org/drawingml/2006/picture">
            <wp:extent cx="5303520" cy="3263705"/>
            <wp:docPr id="1" name="Picture 1"/>
            <wp:cNvGraphicFramePr>
              <a:graphicFrameLocks noChangeAspect="1"/>
            </wp:cNvGraphicFramePr>
            <a:graphic>
              <a:graphicData uri="http://schemas.openxmlformats.org/drawingml/2006/picture">
                <pic:pic>
                  <pic:nvPicPr>
                    <pic:cNvPr id="0" name="diagram_architecture_VN.png"/>
                    <pic:cNvPicPr/>
                  </pic:nvPicPr>
                  <pic:blipFill>
                    <a:blip r:embed="rId9"/>
                    <a:stretch>
                      <a:fillRect/>
                    </a:stretch>
                  </pic:blipFill>
                  <pic:spPr>
                    <a:xfrm>
                      <a:off x="0" y="0"/>
                      <a:ext cx="5303520" cy="3263705"/>
                    </a:xfrm>
                    <a:prstGeom prst="rect"/>
                  </pic:spPr>
                </pic:pic>
              </a:graphicData>
            </a:graphic>
          </wp:inline>
        </w:drawing>
      </w:r>
    </w:p>
    <w:p>
      <w:pPr>
        <w:spacing w:after="200"/>
        <w:jc w:val="center"/>
      </w:pPr>
      <w:r>
        <w:rPr>
          <w:rFonts w:ascii="Times New Roman" w:hAnsi="Times New Roman"/>
          <w:i/>
          <w:sz w:val="19"/>
        </w:rPr>
        <w:t>Hình 1.1: Sơ đồ kiến trúc tổng thể 5 khối chức năng của Hệ thống MedVision AI CDSS Platform.</w:t>
      </w:r>
    </w:p>
    <w:p>
      <w:pPr>
        <w:pStyle w:val="Heading1"/>
        <w:keepNext/>
        <w:spacing w:before="360" w:after="160"/>
        <w:pBdr>
          <w:bottom w:val="single" w:sz="16" w:space="4" w:color="000000"/>
        </w:pBdr>
      </w:pPr>
      <w:r>
        <w:rPr>
          <w:rFonts w:ascii="Times New Roman" w:hAnsi="Times New Roman"/>
          <w:b/>
          <w:color w:val="000000"/>
          <w:sz w:val="32"/>
        </w:rPr>
        <w:t>2. Kết Quả Xử Lý Dữ Liệu và Kiểm Thuật Chống Rò Rỉ Mức Bệnh Nhân</w:t>
      </w:r>
    </w:p>
    <w:p>
      <w:pPr>
        <w:spacing w:line="276" w:lineRule="auto" w:after="120"/>
        <w:jc w:val="both"/>
      </w:pPr>
      <w:r>
        <w:rPr>
          <w:rFonts w:ascii="Times New Roman" w:hAnsi="Times New Roman"/>
          <w:b w:val="0"/>
          <w:i w:val="0"/>
          <w:sz w:val="22"/>
        </w:rPr>
        <w:t>Chúng em đã gom nhóm và tiền xử lý 12.788 ảnh X-quang thô từ 3 nguồn uy tín: Guangzhou Kermany (Trẻ em), Shenzhen No.3 Hospital (Người lớn), và Montgomery County (Người lớn, Mỹ) (</w:t>
      </w:r>
      <w:r>
        <w:rPr>
          <w:rFonts w:ascii="Times New Roman" w:hAnsi="Times New Roman"/>
          <w:sz w:val="22"/>
          <w:u w:val="single"/>
        </w:rPr>
        <w:t>Jaeger et al., 2014</w:t>
      </w:r>
      <w:r>
        <w:rPr>
          <w:rFonts w:ascii="Times New Roman" w:hAnsi="Times New Roman"/>
          <w:sz w:val="22"/>
        </w:rPr>
        <w:t>). Bằng cách tính mã băm MD5 128-bit, hệ thống đã lọc bỏ 5.888 ảnh trùng lặp, thu được 6.900 ảnh sạch unique.</w:t>
      </w:r>
    </w:p>
    <w:p>
      <w:pPr>
        <w:spacing w:before="200" w:after="80"/>
        <w:jc w:val="center"/>
      </w:pPr>
      <w:r>
        <w:drawing>
          <wp:inline xmlns:a="http://schemas.openxmlformats.org/drawingml/2006/main" xmlns:pic="http://schemas.openxmlformats.org/drawingml/2006/picture">
            <wp:extent cx="5303520" cy="3100519"/>
            <wp:docPr id="2" name="Picture 2"/>
            <wp:cNvGraphicFramePr>
              <a:graphicFrameLocks noChangeAspect="1"/>
            </wp:cNvGraphicFramePr>
            <a:graphic>
              <a:graphicData uri="http://schemas.openxmlformats.org/drawingml/2006/picture">
                <pic:pic>
                  <pic:nvPicPr>
                    <pic:cNvPr id="0" name="chart_class_distribution_VN.png"/>
                    <pic:cNvPicPr/>
                  </pic:nvPicPr>
                  <pic:blipFill>
                    <a:blip r:embed="rId10"/>
                    <a:stretch>
                      <a:fillRect/>
                    </a:stretch>
                  </pic:blipFill>
                  <pic:spPr>
                    <a:xfrm>
                      <a:off x="0" y="0"/>
                      <a:ext cx="5303520" cy="3100519"/>
                    </a:xfrm>
                    <a:prstGeom prst="rect"/>
                  </pic:spPr>
                </pic:pic>
              </a:graphicData>
            </a:graphic>
          </wp:inline>
        </w:drawing>
      </w:r>
    </w:p>
    <w:p>
      <w:pPr>
        <w:spacing w:after="200"/>
        <w:jc w:val="center"/>
      </w:pPr>
      <w:r>
        <w:rPr>
          <w:rFonts w:ascii="Times New Roman" w:hAnsi="Times New Roman"/>
          <w:i/>
          <w:sz w:val="19"/>
        </w:rPr>
        <w:t>Hình 2.1: Phân bố số lượng ảnh sạch theo 4 nhóm bệnh lý (Tổng số: 6.900 ảnh X-quang sạch).</w:t>
      </w:r>
    </w:p>
    <w:p>
      <w:pPr>
        <w:keepNext/>
        <w:spacing w:before="160" w:after="80"/>
      </w:pPr>
      <w:r>
        <w:rPr>
          <w:rFonts w:ascii="Times New Roman" w:hAnsi="Times New Roman"/>
          <w:b/>
          <w:sz w:val="20"/>
        </w:rPr>
        <w:t>Bảng 2.1: Thống kê chi tiết các tập dữ liệu được phân chia theo ID bệnh nhân (GroupShuffleSplit).</w:t>
      </w:r>
    </w:p>
    <w:tbl>
      <w:tblPr>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2160"/>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sz w:val="19"/>
              </w:rPr>
              <w:t>Tập Dữ liệu Split</w:t>
            </w:r>
          </w:p>
        </w:tc>
        <w:tc>
          <w:tcPr>
            <w:tcW w:type="dxa" w:w="1152"/>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sz w:val="19"/>
              </w:rPr>
              <w:t>Bình thường</w:t>
            </w:r>
          </w:p>
        </w:tc>
        <w:tc>
          <w:tcPr>
            <w:tcW w:type="dxa" w:w="1296"/>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sz w:val="19"/>
              </w:rPr>
              <w:t>Viêm phổi Vi khuẩn</w:t>
            </w:r>
          </w:p>
        </w:tc>
        <w:tc>
          <w:tcPr>
            <w:tcW w:type="dxa" w:w="1152"/>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sz w:val="19"/>
              </w:rPr>
              <w:t>Viêm phổi Virus</w:t>
            </w:r>
          </w:p>
        </w:tc>
        <w:tc>
          <w:tcPr>
            <w:tcW w:type="dxa" w:w="1152"/>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sz w:val="19"/>
              </w:rPr>
              <w:t>Lao phổi</w:t>
            </w:r>
          </w:p>
        </w:tc>
        <w:tc>
          <w:tcPr>
            <w:tcW w:type="dxa" w:w="1224"/>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sz w:val="19"/>
              </w:rPr>
              <w:t>Tổng số Ảnh</w:t>
            </w:r>
          </w:p>
        </w:tc>
        <w:tc>
          <w:tcPr>
            <w:tcW w:type="dxa" w:w="1224"/>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sz w:val="19"/>
              </w:rPr>
              <w:t>Số Bệnh nhân Unique</w:t>
            </w:r>
          </w:p>
        </w:tc>
      </w:tr>
      <w:tr>
        <w:tc>
          <w:tcPr>
            <w:tcW w:type="dxa" w:w="2160"/>
            <w:tcMar>
              <w:top w:w="80" w:type="dxa"/>
              <w:bottom w:w="80" w:type="dxa"/>
              <w:left w:w="120" w:type="dxa"/>
              <w:right w:w="120" w:type="dxa"/>
            </w:tcMar>
            <w:tcBorders>
              <w:top w:val="single" w:sz="4" w:space="0" w:color="D0D0D0"/>
              <w:bottom w:val="single" w:sz="4" w:space="0" w:color="D0D0D0"/>
              <w:left w:val="none"/>
              <w:right w:val="none"/>
            </w:tcBorders>
          </w:tcPr>
          <w:p>
            <w:pPr>
              <w:spacing w:after="40"/>
              <w:jc w:val="left"/>
            </w:pPr>
            <w:r>
              <w:rPr>
                <w:rFonts w:ascii="Times New Roman" w:hAnsi="Times New Roman"/>
                <w:b/>
                <w:sz w:val="19"/>
              </w:rPr>
              <w:t>Tập Train (70%)</w:t>
            </w:r>
          </w:p>
        </w:tc>
        <w:tc>
          <w:tcPr>
            <w:tcW w:type="dxa" w:w="1152"/>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1.325</w:t>
            </w:r>
          </w:p>
        </w:tc>
        <w:tc>
          <w:tcPr>
            <w:tcW w:type="dxa" w:w="1296"/>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1.966</w:t>
            </w:r>
          </w:p>
        </w:tc>
        <w:tc>
          <w:tcPr>
            <w:tcW w:type="dxa" w:w="1152"/>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1.060</w:t>
            </w:r>
          </w:p>
        </w:tc>
        <w:tc>
          <w:tcPr>
            <w:tcW w:type="dxa" w:w="1152"/>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235</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4.586</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2.740</w:t>
            </w:r>
          </w:p>
        </w:tc>
      </w:tr>
      <w:tr>
        <w:tc>
          <w:tcPr>
            <w:tcW w:type="dxa" w:w="2160"/>
            <w:tcMar>
              <w:top w:w="80" w:type="dxa"/>
              <w:bottom w:w="80" w:type="dxa"/>
              <w:left w:w="120" w:type="dxa"/>
              <w:right w:w="120" w:type="dxa"/>
            </w:tcMar>
            <w:tcBorders>
              <w:top w:val="single" w:sz="4" w:space="0" w:color="D0D0D0"/>
              <w:bottom w:val="single" w:sz="4" w:space="0" w:color="D0D0D0"/>
              <w:left w:val="none"/>
              <w:right w:val="none"/>
            </w:tcBorders>
          </w:tcPr>
          <w:p>
            <w:pPr>
              <w:spacing w:after="40"/>
              <w:jc w:val="left"/>
            </w:pPr>
            <w:r>
              <w:rPr>
                <w:rFonts w:ascii="Times New Roman" w:hAnsi="Times New Roman"/>
                <w:b/>
                <w:sz w:val="19"/>
              </w:rPr>
              <w:t>Tập Validation (15%)</w:t>
            </w:r>
          </w:p>
        </w:tc>
        <w:tc>
          <w:tcPr>
            <w:tcW w:type="dxa" w:w="1152"/>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270</w:t>
            </w:r>
          </w:p>
        </w:tc>
        <w:tc>
          <w:tcPr>
            <w:tcW w:type="dxa" w:w="1296"/>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411</w:t>
            </w:r>
          </w:p>
        </w:tc>
        <w:tc>
          <w:tcPr>
            <w:tcW w:type="dxa" w:w="1152"/>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226</w:t>
            </w:r>
          </w:p>
        </w:tc>
        <w:tc>
          <w:tcPr>
            <w:tcW w:type="dxa" w:w="1152"/>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59</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966</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587</w:t>
            </w:r>
          </w:p>
        </w:tc>
      </w:tr>
      <w:tr>
        <w:tc>
          <w:tcPr>
            <w:tcW w:type="dxa" w:w="2160"/>
            <w:tcMar>
              <w:top w:w="80" w:type="dxa"/>
              <w:bottom w:w="80" w:type="dxa"/>
              <w:left w:w="120" w:type="dxa"/>
              <w:right w:w="120" w:type="dxa"/>
            </w:tcMar>
            <w:tcBorders>
              <w:top w:val="single" w:sz="4" w:space="0" w:color="D0D0D0"/>
              <w:bottom w:val="single" w:sz="4" w:space="0" w:color="D0D0D0"/>
              <w:left w:val="none"/>
              <w:right w:val="none"/>
            </w:tcBorders>
          </w:tcPr>
          <w:p>
            <w:pPr>
              <w:spacing w:after="40"/>
              <w:jc w:val="left"/>
            </w:pPr>
            <w:r>
              <w:rPr>
                <w:rFonts w:ascii="Times New Roman" w:hAnsi="Times New Roman"/>
                <w:b/>
                <w:sz w:val="19"/>
              </w:rPr>
              <w:t>Tập Test Nội bộ (15%)</w:t>
            </w:r>
          </w:p>
        </w:tc>
        <w:tc>
          <w:tcPr>
            <w:tcW w:type="dxa" w:w="1152"/>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310</w:t>
            </w:r>
          </w:p>
        </w:tc>
        <w:tc>
          <w:tcPr>
            <w:tcW w:type="dxa" w:w="1296"/>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383</w:t>
            </w:r>
          </w:p>
        </w:tc>
        <w:tc>
          <w:tcPr>
            <w:tcW w:type="dxa" w:w="1152"/>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199</w:t>
            </w:r>
          </w:p>
        </w:tc>
        <w:tc>
          <w:tcPr>
            <w:tcW w:type="dxa" w:w="1152"/>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42</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934</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588</w:t>
            </w:r>
          </w:p>
        </w:tc>
      </w:tr>
      <w:tr>
        <w:tc>
          <w:tcPr>
            <w:tcW w:type="dxa" w:w="2160"/>
            <w:tcMar>
              <w:top w:w="80" w:type="dxa"/>
              <w:bottom w:w="80" w:type="dxa"/>
              <w:left w:w="120" w:type="dxa"/>
              <w:right w:w="120" w:type="dxa"/>
            </w:tcMar>
            <w:tcBorders>
              <w:top w:val="single" w:sz="4" w:space="0" w:color="D0D0D0"/>
              <w:bottom w:val="single" w:sz="4" w:space="0" w:color="D0D0D0"/>
              <w:left w:val="none"/>
              <w:right w:val="none"/>
            </w:tcBorders>
          </w:tcPr>
          <w:p>
            <w:pPr>
              <w:spacing w:after="40"/>
              <w:jc w:val="left"/>
            </w:pPr>
            <w:r>
              <w:rPr>
                <w:rFonts w:ascii="Times New Roman" w:hAnsi="Times New Roman"/>
                <w:b/>
                <w:sz w:val="19"/>
              </w:rPr>
              <w:t>Tập Test Ngoại viện (Montgomery)</w:t>
            </w:r>
          </w:p>
        </w:tc>
        <w:tc>
          <w:tcPr>
            <w:tcW w:type="dxa" w:w="1152"/>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240</w:t>
            </w:r>
          </w:p>
        </w:tc>
        <w:tc>
          <w:tcPr>
            <w:tcW w:type="dxa" w:w="1296"/>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0</w:t>
            </w:r>
          </w:p>
        </w:tc>
        <w:tc>
          <w:tcPr>
            <w:tcW w:type="dxa" w:w="1152"/>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0</w:t>
            </w:r>
          </w:p>
        </w:tc>
        <w:tc>
          <w:tcPr>
            <w:tcW w:type="dxa" w:w="1152"/>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174</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414</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138</w:t>
            </w:r>
          </w:p>
        </w:tc>
      </w:tr>
    </w:tbl>
    <w:p>
      <w:pPr>
        <w:spacing w:after="120"/>
      </w:pPr>
    </w:p>
    <w:p>
      <w:pPr>
        <w:spacing w:line="276" w:lineRule="auto" w:after="120"/>
        <w:jc w:val="both"/>
      </w:pPr>
      <w:r>
        <w:rPr>
          <w:rFonts w:ascii="Times New Roman" w:hAnsi="Times New Roman"/>
          <w:b w:val="0"/>
          <w:i w:val="0"/>
          <w:sz w:val="22"/>
        </w:rPr>
        <w:t>Hệ thống đã chạy script kiểm thuật tự động (src/audit_pipeline.py) và xác nhận **PASS 100%** trên 4 tiêu chí: Giao tập bệnh nhân rỗng, Giao mã MD5 rỗng, 100% tập Montgomery cô lập ngoại viện, và Không chứa Data Augmentation ở tập Validation/Test.</w:t>
      </w:r>
    </w:p>
    <w:p>
      <w:pPr>
        <w:pStyle w:val="Heading1"/>
        <w:keepNext/>
        <w:spacing w:before="360" w:after="160"/>
        <w:pBdr>
          <w:bottom w:val="single" w:sz="16" w:space="4" w:color="000000"/>
        </w:pBdr>
      </w:pPr>
      <w:r>
        <w:rPr>
          <w:rFonts w:ascii="Times New Roman" w:hAnsi="Times New Roman"/>
          <w:b/>
          <w:color w:val="000000"/>
          <w:sz w:val="32"/>
        </w:rPr>
        <w:t>3. Kết Quả Thực Nghiệm Đánh Giá Mô Hình Deep Learning &amp; Baseline</w:t>
      </w:r>
    </w:p>
    <w:p>
      <w:pPr>
        <w:spacing w:line="276" w:lineRule="auto" w:after="120"/>
        <w:jc w:val="both"/>
      </w:pPr>
      <w:r>
        <w:rPr>
          <w:rFonts w:ascii="Times New Roman" w:hAnsi="Times New Roman"/>
          <w:b w:val="0"/>
          <w:i w:val="0"/>
          <w:sz w:val="22"/>
        </w:rPr>
        <w:t>Chúng em đã thực nghiệm huấn luyện 3 kiến trúc Deep Learning (ResNet-18, DenseNet-121, EfficientNet-B0) qua 3 random seeds (42, 7, 123) và so sánh trực tiếp với phương pháp ML truyền thống (HOG + SVM):</w:t>
      </w:r>
    </w:p>
    <w:p>
      <w:pPr>
        <w:spacing w:before="200" w:after="80"/>
        <w:jc w:val="center"/>
      </w:pPr>
      <w:r>
        <w:drawing>
          <wp:inline xmlns:a="http://schemas.openxmlformats.org/drawingml/2006/main" xmlns:pic="http://schemas.openxmlformats.org/drawingml/2006/picture">
            <wp:extent cx="5303520" cy="3100519"/>
            <wp:docPr id="3" name="Picture 3"/>
            <wp:cNvGraphicFramePr>
              <a:graphicFrameLocks noChangeAspect="1"/>
            </wp:cNvGraphicFramePr>
            <a:graphic>
              <a:graphicData uri="http://schemas.openxmlformats.org/drawingml/2006/picture">
                <pic:pic>
                  <pic:nvPicPr>
                    <pic:cNvPr id="0" name="chart_benchmark_comparison_VN.png"/>
                    <pic:cNvPicPr/>
                  </pic:nvPicPr>
                  <pic:blipFill>
                    <a:blip r:embed="rId11"/>
                    <a:stretch>
                      <a:fillRect/>
                    </a:stretch>
                  </pic:blipFill>
                  <pic:spPr>
                    <a:xfrm>
                      <a:off x="0" y="0"/>
                      <a:ext cx="5303520" cy="3100519"/>
                    </a:xfrm>
                    <a:prstGeom prst="rect"/>
                  </pic:spPr>
                </pic:pic>
              </a:graphicData>
            </a:graphic>
          </wp:inline>
        </w:drawing>
      </w:r>
    </w:p>
    <w:p>
      <w:pPr>
        <w:spacing w:after="200"/>
        <w:jc w:val="center"/>
      </w:pPr>
      <w:r>
        <w:rPr>
          <w:rFonts w:ascii="Times New Roman" w:hAnsi="Times New Roman"/>
          <w:i/>
          <w:sz w:val="19"/>
        </w:rPr>
        <w:t>Hình 3.1: So sánh điểm Macro AUC trên tập kiểm thử nội bộ và tập kiểm thử ngoại viện Montgomery (OOD).</w:t>
      </w:r>
    </w:p>
    <w:p>
      <w:pPr>
        <w:keepNext/>
        <w:spacing w:before="160" w:after="80"/>
      </w:pPr>
      <w:r>
        <w:rPr>
          <w:rFonts w:ascii="Times New Roman" w:hAnsi="Times New Roman"/>
          <w:b/>
          <w:sz w:val="20"/>
        </w:rPr>
        <w:t>Bảng 3.1: Tổng hợp chỉ số thực nghiệm đa kiến trúc trên tập nội bộ và tập ngoại viện Montgomery.</w:t>
      </w:r>
    </w:p>
    <w:tbl>
      <w:tblPr>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872"/>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sz w:val="19"/>
              </w:rPr>
              <w:t>Kiến trúc Mô hình</w:t>
            </w:r>
          </w:p>
        </w:tc>
        <w:tc>
          <w:tcPr>
            <w:tcW w:type="dxa" w:w="1224"/>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sz w:val="19"/>
              </w:rPr>
              <w:t>Accuracy Nội bộ</w:t>
            </w:r>
          </w:p>
        </w:tc>
        <w:tc>
          <w:tcPr>
            <w:tcW w:type="dxa" w:w="1224"/>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sz w:val="19"/>
              </w:rPr>
              <w:t>Precision (Macro)</w:t>
            </w:r>
          </w:p>
        </w:tc>
        <w:tc>
          <w:tcPr>
            <w:tcW w:type="dxa" w:w="1224"/>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sz w:val="19"/>
              </w:rPr>
              <w:t>Recall (Macro)</w:t>
            </w:r>
          </w:p>
        </w:tc>
        <w:tc>
          <w:tcPr>
            <w:tcW w:type="dxa" w:w="1224"/>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sz w:val="19"/>
              </w:rPr>
              <w:t>F1-Score (Macro)</w:t>
            </w:r>
          </w:p>
        </w:tc>
        <w:tc>
          <w:tcPr>
            <w:tcW w:type="dxa" w:w="1296"/>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sz w:val="19"/>
              </w:rPr>
              <w:t>AUC Nội bộ</w:t>
            </w:r>
          </w:p>
        </w:tc>
        <w:tc>
          <w:tcPr>
            <w:tcW w:type="dxa" w:w="1296"/>
            <w:shd w:fill="E6E6E6"/>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sz w:val="19"/>
              </w:rPr>
              <w:t>AUC Montgomery (OOD)</w:t>
            </w:r>
          </w:p>
        </w:tc>
      </w:tr>
      <w:tr>
        <w:tc>
          <w:tcPr>
            <w:tcW w:type="dxa" w:w="1872"/>
            <w:tcMar>
              <w:top w:w="80" w:type="dxa"/>
              <w:bottom w:w="80" w:type="dxa"/>
              <w:left w:w="120" w:type="dxa"/>
              <w:right w:w="120" w:type="dxa"/>
            </w:tcMar>
            <w:tcBorders>
              <w:top w:val="single" w:sz="4" w:space="0" w:color="D0D0D0"/>
              <w:bottom w:val="single" w:sz="4" w:space="0" w:color="D0D0D0"/>
              <w:left w:val="none"/>
              <w:right w:val="none"/>
            </w:tcBorders>
          </w:tcPr>
          <w:p>
            <w:pPr>
              <w:spacing w:after="40"/>
              <w:jc w:val="left"/>
            </w:pPr>
            <w:r>
              <w:rPr>
                <w:rFonts w:ascii="Times New Roman" w:hAnsi="Times New Roman"/>
                <w:b/>
                <w:sz w:val="19"/>
              </w:rPr>
              <w:t>ResNet-18</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84.98% ± 0.33%</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83.58% ± 0.41%</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84.89% ± 0.54%</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sz w:val="19"/>
              </w:rPr>
              <w:t>84.09% ± 0.22%</w:t>
            </w:r>
          </w:p>
        </w:tc>
        <w:tc>
          <w:tcPr>
            <w:tcW w:type="dxa" w:w="1296"/>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sz w:val="19"/>
              </w:rPr>
              <w:t>0.9538 ± 0.0020</w:t>
            </w:r>
          </w:p>
        </w:tc>
        <w:tc>
          <w:tcPr>
            <w:tcW w:type="dxa" w:w="1296"/>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0.7606 ± 0.0072</w:t>
            </w:r>
          </w:p>
        </w:tc>
      </w:tr>
      <w:tr>
        <w:tc>
          <w:tcPr>
            <w:tcW w:type="dxa" w:w="1872"/>
            <w:tcMar>
              <w:top w:w="80" w:type="dxa"/>
              <w:bottom w:w="80" w:type="dxa"/>
              <w:left w:w="120" w:type="dxa"/>
              <w:right w:w="120" w:type="dxa"/>
            </w:tcMar>
            <w:tcBorders>
              <w:top w:val="single" w:sz="4" w:space="0" w:color="D0D0D0"/>
              <w:bottom w:val="single" w:sz="4" w:space="0" w:color="D0D0D0"/>
              <w:left w:val="none"/>
              <w:right w:val="none"/>
            </w:tcBorders>
          </w:tcPr>
          <w:p>
            <w:pPr>
              <w:spacing w:after="40"/>
              <w:jc w:val="left"/>
            </w:pPr>
            <w:r>
              <w:rPr>
                <w:rFonts w:ascii="Times New Roman" w:hAnsi="Times New Roman"/>
                <w:b/>
                <w:sz w:val="19"/>
              </w:rPr>
              <w:t>DenseNet-121</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84.55% ± 0.22%</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83.49% ± 1.15%</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83.28% ± 0.86%</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83.22% ± 0.55%</w:t>
            </w:r>
          </w:p>
        </w:tc>
        <w:tc>
          <w:tcPr>
            <w:tcW w:type="dxa" w:w="1296"/>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0.9512 ± 0.0024</w:t>
            </w:r>
          </w:p>
        </w:tc>
        <w:tc>
          <w:tcPr>
            <w:tcW w:type="dxa" w:w="1296"/>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sz w:val="19"/>
              </w:rPr>
              <w:t>0.8296 ± 0.0613 (TỐT NHẤT)</w:t>
            </w:r>
          </w:p>
        </w:tc>
      </w:tr>
      <w:tr>
        <w:tc>
          <w:tcPr>
            <w:tcW w:type="dxa" w:w="1872"/>
            <w:tcMar>
              <w:top w:w="80" w:type="dxa"/>
              <w:bottom w:w="80" w:type="dxa"/>
              <w:left w:w="120" w:type="dxa"/>
              <w:right w:w="120" w:type="dxa"/>
            </w:tcMar>
            <w:tcBorders>
              <w:top w:val="single" w:sz="4" w:space="0" w:color="D0D0D0"/>
              <w:bottom w:val="single" w:sz="4" w:space="0" w:color="D0D0D0"/>
              <w:left w:val="none"/>
              <w:right w:val="none"/>
            </w:tcBorders>
          </w:tcPr>
          <w:p>
            <w:pPr>
              <w:spacing w:after="40"/>
              <w:jc w:val="left"/>
            </w:pPr>
            <w:r>
              <w:rPr>
                <w:rFonts w:ascii="Times New Roman" w:hAnsi="Times New Roman"/>
                <w:b/>
                <w:sz w:val="19"/>
              </w:rPr>
              <w:t>EfficientNet-B0</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83.83% ± 0.91%</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83.06% ± 1.08%</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82.48% ± 0.70%</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82.69% ± 0.88%</w:t>
            </w:r>
          </w:p>
        </w:tc>
        <w:tc>
          <w:tcPr>
            <w:tcW w:type="dxa" w:w="1296"/>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0.9493 ± 0.0015</w:t>
            </w:r>
          </w:p>
        </w:tc>
        <w:tc>
          <w:tcPr>
            <w:tcW w:type="dxa" w:w="1296"/>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0.7208 ± 0.0360</w:t>
            </w:r>
          </w:p>
        </w:tc>
      </w:tr>
      <w:tr>
        <w:tc>
          <w:tcPr>
            <w:tcW w:type="dxa" w:w="1872"/>
            <w:tcMar>
              <w:top w:w="80" w:type="dxa"/>
              <w:bottom w:w="80" w:type="dxa"/>
              <w:left w:w="120" w:type="dxa"/>
              <w:right w:w="120" w:type="dxa"/>
            </w:tcMar>
            <w:tcBorders>
              <w:top w:val="single" w:sz="4" w:space="0" w:color="D0D0D0"/>
              <w:bottom w:val="single" w:sz="4" w:space="0" w:color="D0D0D0"/>
              <w:left w:val="none"/>
              <w:right w:val="none"/>
            </w:tcBorders>
          </w:tcPr>
          <w:p>
            <w:pPr>
              <w:spacing w:after="40"/>
              <w:jc w:val="left"/>
            </w:pPr>
            <w:r>
              <w:rPr>
                <w:rFonts w:ascii="Times New Roman" w:hAnsi="Times New Roman"/>
                <w:b/>
                <w:sz w:val="19"/>
              </w:rPr>
              <w:t>Baseline HOG + SVM</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83.51%</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80.98%</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78.33%</w:t>
            </w:r>
          </w:p>
        </w:tc>
        <w:tc>
          <w:tcPr>
            <w:tcW w:type="dxa" w:w="1224"/>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79.40%</w:t>
            </w:r>
          </w:p>
        </w:tc>
        <w:tc>
          <w:tcPr>
            <w:tcW w:type="dxa" w:w="1296"/>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0.9470</w:t>
            </w:r>
          </w:p>
        </w:tc>
        <w:tc>
          <w:tcPr>
            <w:tcW w:type="dxa" w:w="1296"/>
            <w:tcMar>
              <w:top w:w="80" w:type="dxa"/>
              <w:bottom w:w="80" w:type="dxa"/>
              <w:left w:w="120" w:type="dxa"/>
              <w:right w:w="120" w:type="dxa"/>
            </w:tcMar>
            <w:tcBorders>
              <w:top w:val="single" w:sz="4" w:space="0" w:color="D0D0D0"/>
              <w:bottom w:val="single" w:sz="4" w:space="0" w:color="D0D0D0"/>
              <w:left w:val="none"/>
              <w:right w:val="none"/>
            </w:tcBorders>
          </w:tcPr>
          <w:p>
            <w:pPr>
              <w:spacing w:after="40"/>
              <w:jc w:val="center"/>
            </w:pPr>
            <w:r>
              <w:rPr>
                <w:rFonts w:ascii="Times New Roman" w:hAnsi="Times New Roman"/>
                <w:b w:val="0"/>
                <w:sz w:val="19"/>
              </w:rPr>
              <w:t>0.6052 (SỤT GIẢM SÂU)</w:t>
            </w:r>
          </w:p>
        </w:tc>
      </w:tr>
    </w:tbl>
    <w:p>
      <w:pPr>
        <w:spacing w:after="120"/>
      </w:pPr>
    </w:p>
    <w:p>
      <w:pPr>
        <w:pStyle w:val="Heading1"/>
        <w:keepNext/>
        <w:spacing w:before="360" w:after="160"/>
        <w:pBdr>
          <w:bottom w:val="single" w:sz="16" w:space="4" w:color="000000"/>
        </w:pBdr>
      </w:pPr>
      <w:r>
        <w:rPr>
          <w:rFonts w:ascii="Times New Roman" w:hAnsi="Times New Roman"/>
          <w:b/>
          <w:color w:val="000000"/>
          <w:sz w:val="32"/>
        </w:rPr>
        <w:t>4. Trực Quan Hóa Giải Thích Mô Hình (Grad-CAM Explainable AI)</w:t>
      </w:r>
    </w:p>
    <w:p>
      <w:pPr>
        <w:spacing w:line="276" w:lineRule="auto" w:after="120"/>
        <w:jc w:val="both"/>
      </w:pPr>
      <w:r>
        <w:rPr>
          <w:rFonts w:ascii="Times New Roman" w:hAnsi="Times New Roman"/>
          <w:b w:val="0"/>
          <w:i w:val="0"/>
          <w:sz w:val="22"/>
        </w:rPr>
        <w:t>Để loại bỏ hiện tượng 'hộp đen' (black-box model), hệ thống tích hợp mô-đun Grad-CAM trích xuất bản đồ nhiệt chú ý không gian trên lớp Convolutional cuối (`denseblock4`). Hình 4.1 minh họa kết quả khoanh vùng tổn thương thực tế trên ảnh X-quang phổi của bệnh nhân:</w:t>
      </w:r>
    </w:p>
    <w:p>
      <w:pPr>
        <w:spacing w:before="200" w:after="80"/>
        <w:jc w:val="center"/>
      </w:pPr>
      <w:r>
        <w:drawing>
          <wp:inline xmlns:a="http://schemas.openxmlformats.org/drawingml/2006/main" xmlns:pic="http://schemas.openxmlformats.org/drawingml/2006/picture">
            <wp:extent cx="5303520" cy="20869526"/>
            <wp:docPr id="4" name="Picture 4"/>
            <wp:cNvGraphicFramePr>
              <a:graphicFrameLocks noChangeAspect="1"/>
            </wp:cNvGraphicFramePr>
            <a:graphic>
              <a:graphicData uri="http://schemas.openxmlformats.org/drawingml/2006/picture">
                <pic:pic>
                  <pic:nvPicPr>
                    <pic:cNvPr id="0" name="gradcam_gallery_densenet121.png"/>
                    <pic:cNvPicPr/>
                  </pic:nvPicPr>
                  <pic:blipFill>
                    <a:blip r:embed="rId12"/>
                    <a:stretch>
                      <a:fillRect/>
                    </a:stretch>
                  </pic:blipFill>
                  <pic:spPr>
                    <a:xfrm>
                      <a:off x="0" y="0"/>
                      <a:ext cx="5303520" cy="20869526"/>
                    </a:xfrm>
                    <a:prstGeom prst="rect"/>
                  </pic:spPr>
                </pic:pic>
              </a:graphicData>
            </a:graphic>
          </wp:inline>
        </w:drawing>
      </w:r>
    </w:p>
    <w:p>
      <w:pPr>
        <w:spacing w:after="200"/>
        <w:jc w:val="center"/>
      </w:pPr>
      <w:r>
        <w:rPr>
          <w:rFonts w:ascii="Times New Roman" w:hAnsi="Times New Roman"/>
          <w:i/>
          <w:sz w:val="19"/>
        </w:rPr>
        <w:t>Hình 4.1: Bản đồ nhiệt Grad-CAM trực quan hóa vùng phổi bị ảnh hưởng bởi thâm nhiễm và đám mờ tổn thương thực tế.</w:t>
      </w:r>
    </w:p>
    <w:p>
      <w:pPr>
        <w:pStyle w:val="Heading1"/>
        <w:keepNext/>
        <w:spacing w:before="360" w:after="160"/>
        <w:pBdr>
          <w:bottom w:val="single" w:sz="16" w:space="4" w:color="000000"/>
        </w:pBdr>
      </w:pPr>
      <w:r>
        <w:rPr>
          <w:rFonts w:ascii="Times New Roman" w:hAnsi="Times New Roman"/>
          <w:b/>
          <w:color w:val="000000"/>
          <w:sz w:val="32"/>
        </w:rPr>
        <w:t>5. Tiến Độ Phát Triển Sản Phẩm Demo Lâm Sàng (CDSS Web App)</w:t>
      </w:r>
    </w:p>
    <w:p>
      <w:pPr>
        <w:spacing w:line="276" w:lineRule="auto" w:after="120"/>
        <w:jc w:val="both"/>
      </w:pPr>
      <w:r>
        <w:rPr>
          <w:rFonts w:ascii="Times New Roman" w:hAnsi="Times New Roman"/>
          <w:b w:val="0"/>
          <w:i w:val="0"/>
          <w:sz w:val="22"/>
        </w:rPr>
        <w:t>Hệ thống Demo Web ([app/app.py](file:///C:/Users/huynh/Desktop/Graduation/app/app.py)) đang được xây dựng theo kiến trúc 4-Tab hoàn chỉnh:</w:t>
      </w:r>
    </w:p>
    <w:p>
      <w:pPr>
        <w:spacing w:line="276" w:lineRule="auto" w:after="120"/>
        <w:jc w:val="both"/>
      </w:pPr>
      <w:r>
        <w:rPr>
          <w:rFonts w:ascii="Times New Roman" w:hAnsi="Times New Roman"/>
          <w:b w:val="0"/>
          <w:i w:val="0"/>
          <w:sz w:val="22"/>
        </w:rPr>
        <w:t>• Tab 1 (Clinical Screening): Cho phép tải file DICOM (.dcm), PNG, JPEG, bật bộ lọc CLAHE tương phản, hiển thị Banner cảnh báo Triage (Đỏ/Vàng/Xanh) và xuất báo cáo PDF 1-Click.</w:t>
      </w:r>
    </w:p>
    <w:p>
      <w:pPr>
        <w:spacing w:line="276" w:lineRule="auto" w:after="120"/>
        <w:jc w:val="both"/>
      </w:pPr>
      <w:r>
        <w:rPr>
          <w:rFonts w:ascii="Times New Roman" w:hAnsi="Times New Roman"/>
          <w:b w:val="0"/>
          <w:i w:val="0"/>
          <w:sz w:val="22"/>
        </w:rPr>
        <w:t>• Tab 2 (Hospital Analytics): Dashboard thống kê dịch tễ tương tác bằng Plotly.</w:t>
      </w:r>
    </w:p>
    <w:p>
      <w:pPr>
        <w:spacing w:line="276" w:lineRule="auto" w:after="120"/>
        <w:jc w:val="both"/>
      </w:pPr>
      <w:r>
        <w:rPr>
          <w:rFonts w:ascii="Times New Roman" w:hAnsi="Times New Roman"/>
          <w:b w:val="0"/>
          <w:i w:val="0"/>
          <w:sz w:val="22"/>
        </w:rPr>
        <w:t>• Tab 3 (Benchmark Hub): Bảng so sánh trực tiếp các mô hình và thư viện Grad-CAM.</w:t>
      </w:r>
    </w:p>
    <w:p>
      <w:pPr>
        <w:spacing w:line="276" w:lineRule="auto" w:after="120"/>
        <w:jc w:val="both"/>
      </w:pPr>
      <w:r>
        <w:rPr>
          <w:rFonts w:ascii="Times New Roman" w:hAnsi="Times New Roman"/>
          <w:b w:val="0"/>
          <w:i w:val="0"/>
          <w:sz w:val="22"/>
        </w:rPr>
        <w:t>• Tab 4 (Scientific Integrity): Trực quan hóa kết quả kiểm thuật và dự thảo bài báo khoa học chuẩn IMRaD.</w:t>
      </w:r>
    </w:p>
    <w:p>
      <w:pPr>
        <w:pStyle w:val="Heading1"/>
        <w:keepNext/>
        <w:spacing w:before="360" w:after="160"/>
        <w:pBdr>
          <w:bottom w:val="single" w:sz="16" w:space="4" w:color="000000"/>
        </w:pBdr>
      </w:pPr>
      <w:r>
        <w:rPr>
          <w:rFonts w:ascii="Times New Roman" w:hAnsi="Times New Roman"/>
          <w:b/>
          <w:color w:val="000000"/>
          <w:sz w:val="32"/>
        </w:rPr>
        <w:t>6. Kế Hoạch Tiếp Theo và Kết Luận</w:t>
      </w:r>
    </w:p>
    <w:p>
      <w:pPr>
        <w:spacing w:line="276" w:lineRule="auto" w:after="120"/>
        <w:jc w:val="both"/>
      </w:pPr>
      <w:r>
        <w:rPr>
          <w:rFonts w:ascii="Times New Roman" w:hAnsi="Times New Roman"/>
          <w:b w:val="0"/>
          <w:i w:val="0"/>
          <w:sz w:val="22"/>
        </w:rPr>
        <w:t>Đến thời điểm hiện tại, phần **Huấn luyện Mô hình Deep Learning, Kiểm thuật Chống Rò rỉ Dữ liệu và Viết Dự thảo Bài báo Khoa học** đã hoàn tất 100%. Trong đợt tiếp theo, chúng em sẽ tập trung tinh chỉnh hoàn thiện giao diện demo CDSS và chuẩn bị các slide thuyết minh bảo vệ trước hội đồng.</w:t>
      </w:r>
    </w:p>
    <w:p>
      <w:pPr>
        <w:pStyle w:val="Heading1"/>
        <w:keepNext/>
        <w:spacing w:before="360" w:after="160"/>
        <w:pBdr>
          <w:bottom w:val="single" w:sz="16" w:space="4" w:color="000000"/>
        </w:pBdr>
      </w:pPr>
      <w:r>
        <w:rPr>
          <w:rFonts w:ascii="Times New Roman" w:hAnsi="Times New Roman"/>
          <w:b/>
          <w:color w:val="000000"/>
          <w:sz w:val="32"/>
        </w:rPr>
        <w:t>Tài Liệu Tham Khảo</w:t>
      </w:r>
    </w:p>
    <w:p>
      <w:pPr>
        <w:spacing w:line="276" w:lineRule="auto" w:after="120"/>
        <w:jc w:val="both"/>
      </w:pPr>
      <w:r>
        <w:rPr>
          <w:rFonts w:ascii="Times New Roman" w:hAnsi="Times New Roman"/>
          <w:b w:val="0"/>
          <w:i w:val="0"/>
          <w:sz w:val="22"/>
        </w:rPr>
      </w:r>
      <w:r>
        <w:rPr>
          <w:rFonts w:ascii="Times New Roman" w:hAnsi="Times New Roman"/>
          <w:sz w:val="22"/>
          <w:u w:val="single"/>
        </w:rPr>
        <w:t>Candemir, S., Jaeger, S., Palaniappan, K., et al.</w:t>
      </w:r>
      <w:r>
        <w:rPr>
          <w:rFonts w:ascii="Times New Roman" w:hAnsi="Times New Roman"/>
          <w:sz w:val="22"/>
        </w:rPr>
        <w:t xml:space="preserve"> (2014). Lung segmentation in chest radiographs using anatomical atlases. IEEE Transactions on Medical Imaging, 33(2), 577-590.</w:t>
      </w:r>
    </w:p>
    <w:p>
      <w:pPr>
        <w:spacing w:line="276" w:lineRule="auto" w:after="120"/>
        <w:jc w:val="both"/>
      </w:pPr>
      <w:r>
        <w:rPr>
          <w:rFonts w:ascii="Times New Roman" w:hAnsi="Times New Roman"/>
          <w:b w:val="0"/>
          <w:i w:val="0"/>
          <w:sz w:val="22"/>
        </w:rPr>
      </w:r>
      <w:r>
        <w:rPr>
          <w:rFonts w:ascii="Times New Roman" w:hAnsi="Times New Roman"/>
          <w:sz w:val="22"/>
          <w:u w:val="single"/>
        </w:rPr>
        <w:t>He, K., Zhang, X., Ren, S., &amp; Sun, J.</w:t>
      </w:r>
      <w:r>
        <w:rPr>
          <w:rFonts w:ascii="Times New Roman" w:hAnsi="Times New Roman"/>
          <w:sz w:val="22"/>
        </w:rPr>
        <w:t xml:space="preserve"> (2016). Deep residual learning for image recognition. IEEE CVPR (pp. 770-778).</w:t>
      </w:r>
    </w:p>
    <w:p>
      <w:pPr>
        <w:spacing w:line="276" w:lineRule="auto" w:after="120"/>
        <w:jc w:val="both"/>
      </w:pPr>
      <w:r>
        <w:rPr>
          <w:rFonts w:ascii="Times New Roman" w:hAnsi="Times New Roman"/>
          <w:b w:val="0"/>
          <w:i w:val="0"/>
          <w:sz w:val="22"/>
        </w:rPr>
      </w:r>
      <w:r>
        <w:rPr>
          <w:rFonts w:ascii="Times New Roman" w:hAnsi="Times New Roman"/>
          <w:sz w:val="22"/>
          <w:u w:val="single"/>
        </w:rPr>
        <w:t>Huang, G., Liu, Z., Van Der Maaten, L., &amp; Weinberger, K. Q.</w:t>
      </w:r>
      <w:r>
        <w:rPr>
          <w:rFonts w:ascii="Times New Roman" w:hAnsi="Times New Roman"/>
          <w:sz w:val="22"/>
        </w:rPr>
        <w:t xml:space="preserve"> (2017). Densely connected convolutional networks. IEEE CVPR (pp. 4700-4708).</w:t>
      </w:r>
    </w:p>
    <w:p>
      <w:pPr>
        <w:spacing w:line="276" w:lineRule="auto" w:after="120"/>
        <w:jc w:val="both"/>
      </w:pPr>
      <w:r>
        <w:rPr>
          <w:rFonts w:ascii="Times New Roman" w:hAnsi="Times New Roman"/>
          <w:b w:val="0"/>
          <w:i w:val="0"/>
          <w:sz w:val="22"/>
        </w:rPr>
      </w:r>
      <w:r>
        <w:rPr>
          <w:rFonts w:ascii="Times New Roman" w:hAnsi="Times New Roman"/>
          <w:sz w:val="22"/>
          <w:u w:val="single"/>
        </w:rPr>
        <w:t>Jaeger, S., Candemir, S., Antani, S., et al.</w:t>
      </w:r>
      <w:r>
        <w:rPr>
          <w:rFonts w:ascii="Times New Roman" w:hAnsi="Times New Roman"/>
          <w:sz w:val="22"/>
        </w:rPr>
        <w:t xml:space="preserve"> (2014). Two public chest X-ray datasets for computer-aided screening of pulmonary diseases. Quantitative Imaging in Medicine &amp; Surgery, 4(6), 475-477.</w:t>
      </w:r>
    </w:p>
    <w:p>
      <w:pPr>
        <w:spacing w:line="276" w:lineRule="auto" w:after="120"/>
        <w:jc w:val="both"/>
      </w:pPr>
      <w:r>
        <w:rPr>
          <w:rFonts w:ascii="Times New Roman" w:hAnsi="Times New Roman"/>
          <w:b w:val="0"/>
          <w:i w:val="0"/>
          <w:sz w:val="22"/>
        </w:rPr>
      </w:r>
      <w:r>
        <w:rPr>
          <w:rFonts w:ascii="Times New Roman" w:hAnsi="Times New Roman"/>
          <w:sz w:val="22"/>
          <w:u w:val="single"/>
        </w:rPr>
        <w:t>Kermany, D. S., Goldbaum, M., Zhang, W., et al.</w:t>
      </w:r>
      <w:r>
        <w:rPr>
          <w:rFonts w:ascii="Times New Roman" w:hAnsi="Times New Roman"/>
          <w:sz w:val="22"/>
        </w:rPr>
        <w:t xml:space="preserve"> (2018). Identifying medical diagnoses and treating diseases by image-based deep learning. Cell, 172(5), 1122-1131.</w:t>
      </w:r>
    </w:p>
    <w:p>
      <w:pPr>
        <w:spacing w:line="276" w:lineRule="auto" w:after="120"/>
        <w:jc w:val="both"/>
      </w:pPr>
      <w:r>
        <w:rPr>
          <w:rFonts w:ascii="Times New Roman" w:hAnsi="Times New Roman"/>
          <w:b w:val="0"/>
          <w:i w:val="0"/>
          <w:sz w:val="22"/>
        </w:rPr>
      </w:r>
      <w:r>
        <w:rPr>
          <w:rFonts w:ascii="Times New Roman" w:hAnsi="Times New Roman"/>
          <w:sz w:val="22"/>
          <w:u w:val="single"/>
        </w:rPr>
        <w:t>Selvaraju, R. R., Cogswell, M., Das, A., et al.</w:t>
      </w:r>
      <w:r>
        <w:rPr>
          <w:rFonts w:ascii="Times New Roman" w:hAnsi="Times New Roman"/>
          <w:sz w:val="22"/>
        </w:rPr>
        <w:t xml:space="preserve"> (2017). Grad-CAM: Visual explanations from deep networks via gradient-based localization. IEEE ICCV (pp. 618-626).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