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948" w:rsidRDefault="00224948" w:rsidP="00224948">
      <w:pPr>
        <w:spacing w:after="0" w:line="240" w:lineRule="auto"/>
        <w:rPr>
          <w:rFonts w:ascii="Times New Roman" w:eastAsia="Times New Roman" w:hAnsi="Times New Roman" w:cs="Times New Roman"/>
          <w:i/>
          <w:sz w:val="16"/>
          <w:szCs w:val="16"/>
        </w:rPr>
      </w:pPr>
      <w:r w:rsidRPr="00962B27">
        <w:rPr>
          <w:rFonts w:ascii="Times New Roman" w:eastAsia="Times New Roman" w:hAnsi="Times New Roman" w:cs="Times New Roman"/>
          <w:b/>
          <w:i/>
          <w:iCs/>
          <w:sz w:val="16"/>
          <w:szCs w:val="16"/>
        </w:rPr>
        <w:t>New Standard + Program Support Features</w:t>
      </w:r>
      <w:r w:rsidRPr="00962B27">
        <w:rPr>
          <w:rFonts w:ascii="Segoe UI" w:eastAsia="Times New Roman" w:hAnsi="Segoe UI" w:cs="Segoe UI"/>
          <w:b/>
          <w:i/>
          <w:iCs/>
          <w:sz w:val="16"/>
          <w:szCs w:val="16"/>
        </w:rPr>
        <w:t>:</w:t>
      </w:r>
      <w:r w:rsidRPr="00962B27">
        <w:rPr>
          <w:rFonts w:ascii="Times New Roman" w:eastAsia="Times New Roman" w:hAnsi="Times New Roman" w:cs="Times New Roman"/>
          <w:b/>
          <w:sz w:val="16"/>
          <w:szCs w:val="16"/>
        </w:rPr>
        <w:t xml:space="preserve">  </w:t>
      </w:r>
      <w:r w:rsidRPr="00962B27">
        <w:rPr>
          <w:rFonts w:ascii="Times New Roman" w:eastAsia="Times New Roman" w:hAnsi="Times New Roman" w:cs="Times New Roman"/>
          <w:i/>
          <w:sz w:val="16"/>
          <w:szCs w:val="16"/>
        </w:rPr>
        <w:t>$995 if paid at once, or $99.50 per month in 12 installments</w:t>
      </w:r>
    </w:p>
    <w:p w:rsidR="00962B27" w:rsidRDefault="00962B27" w:rsidP="00224948">
      <w:pPr>
        <w:spacing w:after="0" w:line="240" w:lineRule="auto"/>
        <w:rPr>
          <w:rFonts w:ascii="Times New Roman" w:eastAsia="Times New Roman" w:hAnsi="Times New Roman" w:cs="Times New Roman"/>
          <w:i/>
          <w:sz w:val="16"/>
          <w:szCs w:val="16"/>
        </w:rPr>
      </w:pPr>
    </w:p>
    <w:p w:rsidR="00962B27" w:rsidRDefault="00962B27" w:rsidP="00224948">
      <w:pPr>
        <w:spacing w:after="0" w:line="240" w:lineRule="auto"/>
        <w:rPr>
          <w:i/>
          <w:sz w:val="16"/>
          <w:szCs w:val="16"/>
        </w:rPr>
      </w:pPr>
      <w:r w:rsidRPr="00962B27">
        <w:rPr>
          <w:i/>
          <w:sz w:val="16"/>
          <w:szCs w:val="16"/>
        </w:rPr>
        <w:t>Over the past eighteen months we have invested significantly in infrastructure and phone system updates, more than doubled our personnel, and have developed several new systems to improve performance in these mission-critical service levels</w:t>
      </w:r>
      <w:r>
        <w:rPr>
          <w:i/>
          <w:sz w:val="16"/>
          <w:szCs w:val="16"/>
        </w:rPr>
        <w:t>!!</w:t>
      </w:r>
    </w:p>
    <w:p w:rsidR="00962B27" w:rsidRPr="00962B27" w:rsidRDefault="00962B27" w:rsidP="00224948">
      <w:pPr>
        <w:spacing w:after="0" w:line="240" w:lineRule="auto"/>
        <w:rPr>
          <w:rFonts w:ascii="Times New Roman" w:eastAsia="Times New Roman" w:hAnsi="Times New Roman" w:cs="Times New Roman"/>
          <w:i/>
          <w:sz w:val="16"/>
          <w:szCs w:val="16"/>
        </w:rPr>
      </w:pPr>
    </w:p>
    <w:p w:rsidR="00224948" w:rsidRPr="00962B27" w:rsidRDefault="00224948" w:rsidP="00224948">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Unlimited Phone Support</w:t>
      </w:r>
    </w:p>
    <w:p w:rsidR="00224948" w:rsidRPr="00962B27" w:rsidRDefault="00224948" w:rsidP="00224948">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Unlimited Chat Support</w:t>
      </w:r>
    </w:p>
    <w:p w:rsidR="00224948" w:rsidRPr="00962B27" w:rsidRDefault="00224948" w:rsidP="00224948">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Unlimited Software Patches and Updates</w:t>
      </w:r>
    </w:p>
    <w:p w:rsidR="00224948" w:rsidRPr="00962B27" w:rsidRDefault="00224948" w:rsidP="00224948">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 xml:space="preserve">New </w:t>
      </w:r>
    </w:p>
    <w:p w:rsidR="00224948" w:rsidRPr="00962B27" w:rsidRDefault="00224948" w:rsidP="00224948">
      <w:pPr>
        <w:numPr>
          <w:ilvl w:val="1"/>
          <w:numId w:val="1"/>
        </w:numPr>
        <w:spacing w:before="100" w:beforeAutospacing="1" w:after="100" w:afterAutospacing="1" w:line="240" w:lineRule="auto"/>
        <w:rPr>
          <w:rFonts w:ascii="Times New Roman" w:eastAsia="Times New Roman" w:hAnsi="Times New Roman" w:cs="Times New Roman"/>
          <w:sz w:val="16"/>
          <w:szCs w:val="16"/>
        </w:rPr>
      </w:pPr>
      <w:proofErr w:type="spellStart"/>
      <w:r w:rsidRPr="00962B27">
        <w:rPr>
          <w:rFonts w:ascii="Times New Roman" w:eastAsia="Times New Roman" w:hAnsi="Times New Roman" w:cs="Times New Roman"/>
          <w:sz w:val="16"/>
          <w:szCs w:val="16"/>
        </w:rPr>
        <w:t>CTCommunities</w:t>
      </w:r>
      <w:proofErr w:type="spellEnd"/>
      <w:r w:rsidRPr="00962B27">
        <w:rPr>
          <w:rFonts w:ascii="Times New Roman" w:eastAsia="Times New Roman" w:hAnsi="Times New Roman" w:cs="Times New Roman"/>
          <w:sz w:val="16"/>
          <w:szCs w:val="16"/>
        </w:rPr>
        <w:t>: 24/7 Support portal for colleague and knowledge base help</w:t>
      </w:r>
    </w:p>
    <w:p w:rsidR="00224948" w:rsidRPr="00962B27" w:rsidRDefault="00224948" w:rsidP="00224948">
      <w:pPr>
        <w:numPr>
          <w:ilvl w:val="1"/>
          <w:numId w:val="1"/>
        </w:numPr>
        <w:spacing w:before="100" w:beforeAutospacing="1" w:after="100" w:afterAutospacing="1" w:line="240" w:lineRule="auto"/>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Certified Software Support</w:t>
      </w:r>
    </w:p>
    <w:p w:rsidR="00224948" w:rsidRPr="00962B27" w:rsidRDefault="00224948" w:rsidP="00224948">
      <w:pPr>
        <w:numPr>
          <w:ilvl w:val="1"/>
          <w:numId w:val="1"/>
        </w:numPr>
        <w:spacing w:before="100" w:beforeAutospacing="1" w:after="100" w:afterAutospacing="1" w:line="240" w:lineRule="auto"/>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Upgraded Phone System with improved routing and shorter wait times</w:t>
      </w:r>
    </w:p>
    <w:p w:rsidR="00224948" w:rsidRPr="00962B27" w:rsidRDefault="00224948" w:rsidP="00224948">
      <w:pPr>
        <w:spacing w:after="240" w:line="240" w:lineRule="auto"/>
        <w:rPr>
          <w:rFonts w:ascii="Times New Roman" w:eastAsia="Times New Roman" w:hAnsi="Times New Roman" w:cs="Times New Roman"/>
          <w:sz w:val="16"/>
          <w:szCs w:val="16"/>
        </w:rPr>
      </w:pPr>
      <w:r w:rsidRPr="00962B27">
        <w:rPr>
          <w:rFonts w:ascii="Times New Roman" w:eastAsia="Times New Roman" w:hAnsi="Times New Roman" w:cs="Times New Roman"/>
          <w:b/>
          <w:bCs/>
          <w:sz w:val="16"/>
          <w:szCs w:val="16"/>
        </w:rPr>
        <w:t>Support Renewal</w:t>
      </w:r>
      <w:r w:rsidRPr="00962B27">
        <w:rPr>
          <w:rFonts w:ascii="Times New Roman" w:eastAsia="Times New Roman" w:hAnsi="Times New Roman" w:cs="Times New Roman"/>
          <w:sz w:val="16"/>
          <w:szCs w:val="16"/>
        </w:rPr>
        <w:t xml:space="preserve"> </w:t>
      </w:r>
      <w:r w:rsidRPr="00962B27">
        <w:rPr>
          <w:rFonts w:ascii="Times New Roman" w:eastAsia="Times New Roman" w:hAnsi="Times New Roman" w:cs="Times New Roman"/>
          <w:sz w:val="16"/>
          <w:szCs w:val="16"/>
        </w:rPr>
        <w:br/>
      </w:r>
      <w:r w:rsidRPr="00962B27">
        <w:rPr>
          <w:rFonts w:ascii="Times New Roman" w:eastAsia="Times New Roman" w:hAnsi="Times New Roman" w:cs="Times New Roman"/>
          <w:sz w:val="16"/>
          <w:szCs w:val="16"/>
        </w:rPr>
        <w:br/>
        <w:t xml:space="preserve">Your Standard + support program for 2015 is $99.50 per month or $995.00 annually and will be reflected on your upcoming statement at the same terms (monthly or annually) as your current program. Below is an overview of the program benefits. </w:t>
      </w:r>
    </w:p>
    <w:tbl>
      <w:tblPr>
        <w:tblW w:w="5000" w:type="pct"/>
        <w:tblCellSpacing w:w="0" w:type="dxa"/>
        <w:tblCellMar>
          <w:left w:w="0" w:type="dxa"/>
          <w:right w:w="0" w:type="dxa"/>
        </w:tblCellMar>
        <w:tblLook w:val="04A0" w:firstRow="1" w:lastRow="0" w:firstColumn="1" w:lastColumn="0" w:noHBand="0" w:noVBand="1"/>
      </w:tblPr>
      <w:tblGrid>
        <w:gridCol w:w="9360"/>
      </w:tblGrid>
      <w:tr w:rsidR="00224948" w:rsidRPr="00962B27">
        <w:trPr>
          <w:tblCellSpacing w:w="0" w:type="dxa"/>
        </w:trPr>
        <w:tc>
          <w:tcPr>
            <w:tcW w:w="0" w:type="auto"/>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p>
        </w:tc>
      </w:tr>
    </w:tbl>
    <w:p w:rsidR="00224948" w:rsidRPr="00962B27" w:rsidRDefault="00224948" w:rsidP="00224948">
      <w:pPr>
        <w:spacing w:after="0" w:line="240" w:lineRule="auto"/>
        <w:rPr>
          <w:rFonts w:ascii="Times New Roman" w:eastAsia="Times New Roman" w:hAnsi="Times New Roman" w:cs="Times New Roman"/>
          <w:sz w:val="16"/>
          <w:szCs w:val="16"/>
        </w:rPr>
      </w:pPr>
    </w:p>
    <w:tbl>
      <w:tblPr>
        <w:tblW w:w="5184" w:type="dxa"/>
        <w:jc w:val="center"/>
        <w:tblCellSpacing w:w="0" w:type="dxa"/>
        <w:tblBorders>
          <w:top w:val="single" w:sz="24" w:space="0" w:color="5F5F5F"/>
          <w:left w:val="single" w:sz="24" w:space="0" w:color="5F5F5F"/>
          <w:bottom w:val="single" w:sz="24" w:space="0" w:color="5F5F5F"/>
          <w:right w:val="single" w:sz="24" w:space="0" w:color="5F5F5F"/>
        </w:tblBorders>
        <w:tblCellMar>
          <w:top w:w="75" w:type="dxa"/>
          <w:left w:w="75" w:type="dxa"/>
          <w:bottom w:w="75" w:type="dxa"/>
          <w:right w:w="75" w:type="dxa"/>
        </w:tblCellMar>
        <w:tblLook w:val="04A0" w:firstRow="1" w:lastRow="0" w:firstColumn="1" w:lastColumn="0" w:noHBand="0" w:noVBand="1"/>
      </w:tblPr>
      <w:tblGrid>
        <w:gridCol w:w="3352"/>
        <w:gridCol w:w="1832"/>
      </w:tblGrid>
      <w:tr w:rsidR="00224948" w:rsidRPr="00962B27" w:rsidTr="00962B27">
        <w:trPr>
          <w:trHeight w:val="418"/>
          <w:tblCellSpacing w:w="0" w:type="dxa"/>
          <w:jc w:val="center"/>
        </w:trPr>
        <w:tc>
          <w:tcPr>
            <w:tcW w:w="0" w:type="auto"/>
            <w:gridSpan w:val="2"/>
            <w:tcBorders>
              <w:top w:val="outset" w:sz="6" w:space="0" w:color="5F5F5F"/>
              <w:left w:val="outset" w:sz="6" w:space="0" w:color="5F5F5F"/>
              <w:bottom w:val="outset" w:sz="6" w:space="0" w:color="5F5F5F"/>
              <w:right w:val="outset" w:sz="6" w:space="0" w:color="5F5F5F"/>
            </w:tcBorders>
            <w:shd w:val="clear" w:color="auto" w:fill="847DC1"/>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b/>
                <w:bCs/>
                <w:color w:val="FFFFFF"/>
                <w:sz w:val="16"/>
                <w:szCs w:val="16"/>
              </w:rPr>
              <w:t>Maintenance &amp; Support Benefits: CT Standard +</w:t>
            </w:r>
          </w:p>
        </w:tc>
      </w:tr>
      <w:tr w:rsidR="00224948" w:rsidRPr="00962B27" w:rsidTr="00962B27">
        <w:trPr>
          <w:trHeight w:val="226"/>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Phone Support</w:t>
            </w:r>
          </w:p>
        </w:tc>
        <w:tc>
          <w:tcPr>
            <w:tcW w:w="1832" w:type="dxa"/>
            <w:tcBorders>
              <w:top w:val="outset" w:sz="6" w:space="0" w:color="5F5F5F"/>
              <w:left w:val="outset" w:sz="6" w:space="0" w:color="5F5F5F"/>
              <w:bottom w:val="outset" w:sz="6" w:space="0" w:color="5F5F5F"/>
              <w:right w:val="outset" w:sz="6" w:space="0" w:color="5F5F5F"/>
            </w:tcBorders>
            <w:shd w:val="clear" w:color="auto" w:fill="D6D0DE"/>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noProof/>
                <w:sz w:val="16"/>
                <w:szCs w:val="16"/>
              </w:rPr>
              <w:drawing>
                <wp:inline distT="0" distB="0" distL="0" distR="0" wp14:anchorId="76C695A1" wp14:editId="3B6745AA">
                  <wp:extent cx="226060" cy="226060"/>
                  <wp:effectExtent l="0" t="0" r="2540" b="2540"/>
                  <wp:docPr id="2" name="Picture 2" descr="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lu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r>
      <w:tr w:rsidR="00224948" w:rsidRPr="00962B27" w:rsidTr="00962B27">
        <w:trPr>
          <w:trHeight w:val="231"/>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Live Online Chat Support</w:t>
            </w:r>
          </w:p>
        </w:tc>
        <w:tc>
          <w:tcPr>
            <w:tcW w:w="1832" w:type="dxa"/>
            <w:tcBorders>
              <w:top w:val="outset" w:sz="6" w:space="0" w:color="5F5F5F"/>
              <w:left w:val="outset" w:sz="6" w:space="0" w:color="5F5F5F"/>
              <w:bottom w:val="outset" w:sz="6" w:space="0" w:color="5F5F5F"/>
              <w:right w:val="outset" w:sz="6" w:space="0" w:color="5F5F5F"/>
            </w:tcBorders>
            <w:shd w:val="clear" w:color="auto" w:fill="D6D0DE"/>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noProof/>
                <w:sz w:val="16"/>
                <w:szCs w:val="16"/>
              </w:rPr>
              <w:drawing>
                <wp:inline distT="0" distB="0" distL="0" distR="0" wp14:anchorId="30FBBDC3" wp14:editId="44ABB2EA">
                  <wp:extent cx="226060" cy="226060"/>
                  <wp:effectExtent l="0" t="0" r="2540" b="2540"/>
                  <wp:docPr id="3" name="Picture 3" descr="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r>
      <w:tr w:rsidR="00224948" w:rsidRPr="00962B27" w:rsidTr="00962B27">
        <w:trPr>
          <w:trHeight w:val="231"/>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 xml:space="preserve">Software Updates </w:t>
            </w:r>
            <w:r w:rsidRPr="00962B27">
              <w:rPr>
                <w:rFonts w:ascii="Times New Roman" w:eastAsia="Times New Roman" w:hAnsi="Times New Roman" w:cs="Times New Roman"/>
                <w:sz w:val="16"/>
                <w:szCs w:val="16"/>
              </w:rPr>
              <w:br/>
              <w:t>(Compliance Updates, New Features, Regular Maintenance)</w:t>
            </w:r>
          </w:p>
        </w:tc>
        <w:tc>
          <w:tcPr>
            <w:tcW w:w="1832" w:type="dxa"/>
            <w:tcBorders>
              <w:top w:val="outset" w:sz="6" w:space="0" w:color="5F5F5F"/>
              <w:left w:val="outset" w:sz="6" w:space="0" w:color="5F5F5F"/>
              <w:bottom w:val="outset" w:sz="6" w:space="0" w:color="5F5F5F"/>
              <w:right w:val="outset" w:sz="6" w:space="0" w:color="5F5F5F"/>
            </w:tcBorders>
            <w:shd w:val="clear" w:color="auto" w:fill="D6D0DE"/>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noProof/>
                <w:sz w:val="16"/>
                <w:szCs w:val="16"/>
              </w:rPr>
              <w:drawing>
                <wp:inline distT="0" distB="0" distL="0" distR="0" wp14:anchorId="5E491B94" wp14:editId="35B3E90A">
                  <wp:extent cx="226060" cy="226060"/>
                  <wp:effectExtent l="0" t="0" r="2540" b="2540"/>
                  <wp:docPr id="4" name="Picture 4" descr="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lu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r>
      <w:tr w:rsidR="00224948" w:rsidRPr="00962B27" w:rsidTr="00962B27">
        <w:trPr>
          <w:trHeight w:val="339"/>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Segoe UI" w:eastAsia="Times New Roman" w:hAnsi="Segoe UI" w:cs="Segoe UI"/>
                <w:sz w:val="16"/>
                <w:szCs w:val="16"/>
              </w:rPr>
              <w:t>CT Communities - 24/7 Knowledge-</w:t>
            </w:r>
            <w:proofErr w:type="spellStart"/>
            <w:r w:rsidRPr="00962B27">
              <w:rPr>
                <w:rFonts w:ascii="Segoe UI" w:eastAsia="Times New Roman" w:hAnsi="Segoe UI" w:cs="Segoe UI"/>
                <w:sz w:val="16"/>
                <w:szCs w:val="16"/>
              </w:rPr>
              <w:t>base</w:t>
            </w:r>
            <w:proofErr w:type="spellEnd"/>
            <w:r w:rsidRPr="00962B27">
              <w:rPr>
                <w:rFonts w:ascii="Segoe UI" w:eastAsia="Times New Roman" w:hAnsi="Segoe UI" w:cs="Segoe UI"/>
                <w:sz w:val="16"/>
                <w:szCs w:val="16"/>
              </w:rPr>
              <w:t xml:space="preserve"> Support Portal</w:t>
            </w:r>
            <w:r w:rsidRPr="00962B27">
              <w:rPr>
                <w:rFonts w:ascii="Times New Roman" w:eastAsia="Times New Roman" w:hAnsi="Times New Roman" w:cs="Times New Roman"/>
                <w:sz w:val="16"/>
                <w:szCs w:val="16"/>
              </w:rPr>
              <w:t xml:space="preserve"> ($35/seat/</w:t>
            </w:r>
            <w:proofErr w:type="spellStart"/>
            <w:r w:rsidRPr="00962B27">
              <w:rPr>
                <w:rFonts w:ascii="Times New Roman" w:eastAsia="Times New Roman" w:hAnsi="Times New Roman" w:cs="Times New Roman"/>
                <w:sz w:val="16"/>
                <w:szCs w:val="16"/>
              </w:rPr>
              <w:t>yr</w:t>
            </w:r>
            <w:proofErr w:type="spellEnd"/>
            <w:r w:rsidRPr="00962B27">
              <w:rPr>
                <w:rFonts w:ascii="Times New Roman" w:eastAsia="Times New Roman" w:hAnsi="Times New Roman" w:cs="Times New Roman"/>
                <w:sz w:val="16"/>
                <w:szCs w:val="16"/>
              </w:rPr>
              <w:t>)</w:t>
            </w:r>
          </w:p>
        </w:tc>
        <w:tc>
          <w:tcPr>
            <w:tcW w:w="1832" w:type="dxa"/>
            <w:tcBorders>
              <w:top w:val="outset" w:sz="6" w:space="0" w:color="5F5F5F"/>
              <w:left w:val="outset" w:sz="6" w:space="0" w:color="5F5F5F"/>
              <w:bottom w:val="outset" w:sz="6" w:space="0" w:color="5F5F5F"/>
              <w:right w:val="outset" w:sz="6" w:space="0" w:color="5F5F5F"/>
            </w:tcBorders>
            <w:shd w:val="clear" w:color="auto" w:fill="D6D0DE"/>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noProof/>
                <w:sz w:val="16"/>
                <w:szCs w:val="16"/>
              </w:rPr>
              <w:drawing>
                <wp:inline distT="0" distB="0" distL="0" distR="0" wp14:anchorId="5AEDD503" wp14:editId="7111C17C">
                  <wp:extent cx="226060" cy="226060"/>
                  <wp:effectExtent l="0" t="0" r="2540" b="2540"/>
                  <wp:docPr id="5" name="Picture 5"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962B27">
              <w:rPr>
                <w:rFonts w:ascii="Times New Roman" w:eastAsia="Times New Roman" w:hAnsi="Times New Roman" w:cs="Times New Roman"/>
                <w:sz w:val="16"/>
                <w:szCs w:val="16"/>
              </w:rPr>
              <w:br/>
            </w:r>
            <w:r w:rsidRPr="00962B27">
              <w:rPr>
                <w:rFonts w:ascii="Times New Roman" w:eastAsia="Times New Roman" w:hAnsi="Times New Roman" w:cs="Times New Roman"/>
                <w:color w:val="008000"/>
                <w:sz w:val="16"/>
                <w:szCs w:val="16"/>
              </w:rPr>
              <w:t>(1 Seat)</w:t>
            </w:r>
          </w:p>
        </w:tc>
      </w:tr>
      <w:tr w:rsidR="00224948" w:rsidRPr="00962B27" w:rsidTr="00962B27">
        <w:trPr>
          <w:trHeight w:val="118"/>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CT University - 24/7 Training Seat ($99/</w:t>
            </w:r>
            <w:proofErr w:type="spellStart"/>
            <w:r w:rsidRPr="00962B27">
              <w:rPr>
                <w:rFonts w:ascii="Times New Roman" w:eastAsia="Times New Roman" w:hAnsi="Times New Roman" w:cs="Times New Roman"/>
                <w:sz w:val="16"/>
                <w:szCs w:val="16"/>
              </w:rPr>
              <w:t>yr</w:t>
            </w:r>
            <w:proofErr w:type="spellEnd"/>
            <w:r w:rsidRPr="00962B27">
              <w:rPr>
                <w:rFonts w:ascii="Times New Roman" w:eastAsia="Times New Roman" w:hAnsi="Times New Roman" w:cs="Times New Roman"/>
                <w:sz w:val="16"/>
                <w:szCs w:val="16"/>
              </w:rPr>
              <w:t>)</w:t>
            </w:r>
          </w:p>
        </w:tc>
        <w:tc>
          <w:tcPr>
            <w:tcW w:w="1832" w:type="dxa"/>
            <w:tcBorders>
              <w:top w:val="outset" w:sz="6" w:space="0" w:color="5F5F5F"/>
              <w:left w:val="outset" w:sz="6" w:space="0" w:color="5F5F5F"/>
              <w:bottom w:val="outset" w:sz="6" w:space="0" w:color="5F5F5F"/>
              <w:right w:val="outset" w:sz="6" w:space="0" w:color="5F5F5F"/>
            </w:tcBorders>
            <w:shd w:val="clear" w:color="auto" w:fill="EFEFEF"/>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Available in Premium + </w:t>
            </w:r>
          </w:p>
        </w:tc>
      </w:tr>
      <w:tr w:rsidR="00224948" w:rsidRPr="00962B27" w:rsidTr="00962B27">
        <w:trPr>
          <w:trHeight w:val="118"/>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proofErr w:type="spellStart"/>
            <w:r w:rsidRPr="00962B27">
              <w:rPr>
                <w:rFonts w:ascii="Times New Roman" w:eastAsia="Times New Roman" w:hAnsi="Times New Roman" w:cs="Times New Roman"/>
                <w:sz w:val="16"/>
                <w:szCs w:val="16"/>
              </w:rPr>
              <w:t>DirectConnect</w:t>
            </w:r>
            <w:proofErr w:type="spellEnd"/>
            <w:r w:rsidRPr="00962B27">
              <w:rPr>
                <w:rFonts w:ascii="Times New Roman" w:eastAsia="Times New Roman" w:hAnsi="Times New Roman" w:cs="Times New Roman"/>
                <w:sz w:val="16"/>
                <w:szCs w:val="16"/>
              </w:rPr>
              <w:t xml:space="preserve"> 1:1 Personal Session, Support ($295/6)</w:t>
            </w:r>
          </w:p>
        </w:tc>
        <w:tc>
          <w:tcPr>
            <w:tcW w:w="1832" w:type="dxa"/>
            <w:tcBorders>
              <w:top w:val="outset" w:sz="6" w:space="0" w:color="5F5F5F"/>
              <w:left w:val="outset" w:sz="6" w:space="0" w:color="5F5F5F"/>
              <w:bottom w:val="outset" w:sz="6" w:space="0" w:color="5F5F5F"/>
              <w:right w:val="outset" w:sz="6" w:space="0" w:color="5F5F5F"/>
            </w:tcBorders>
            <w:shd w:val="clear" w:color="auto" w:fill="EFEFEF"/>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Available in Premium + </w:t>
            </w:r>
          </w:p>
        </w:tc>
      </w:tr>
      <w:tr w:rsidR="00224948" w:rsidRPr="00962B27" w:rsidTr="00962B27">
        <w:trPr>
          <w:trHeight w:val="118"/>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proofErr w:type="spellStart"/>
            <w:r w:rsidRPr="00962B27">
              <w:rPr>
                <w:rFonts w:ascii="Times New Roman" w:eastAsia="Times New Roman" w:hAnsi="Times New Roman" w:cs="Times New Roman"/>
                <w:sz w:val="16"/>
                <w:szCs w:val="16"/>
              </w:rPr>
              <w:t>DirectConnect</w:t>
            </w:r>
            <w:proofErr w:type="spellEnd"/>
            <w:r w:rsidRPr="00962B27">
              <w:rPr>
                <w:rFonts w:ascii="Times New Roman" w:eastAsia="Times New Roman" w:hAnsi="Times New Roman" w:cs="Times New Roman"/>
                <w:sz w:val="16"/>
                <w:szCs w:val="16"/>
              </w:rPr>
              <w:t xml:space="preserve"> 1:1 Personal Session, IT ($295/6)</w:t>
            </w:r>
          </w:p>
        </w:tc>
        <w:tc>
          <w:tcPr>
            <w:tcW w:w="1832" w:type="dxa"/>
            <w:tcBorders>
              <w:top w:val="outset" w:sz="6" w:space="0" w:color="5F5F5F"/>
              <w:left w:val="outset" w:sz="6" w:space="0" w:color="5F5F5F"/>
              <w:bottom w:val="outset" w:sz="6" w:space="0" w:color="5F5F5F"/>
              <w:right w:val="outset" w:sz="6" w:space="0" w:color="5F5F5F"/>
            </w:tcBorders>
            <w:shd w:val="clear" w:color="auto" w:fill="EFEFEF"/>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Available in Premium + </w:t>
            </w:r>
          </w:p>
        </w:tc>
      </w:tr>
      <w:tr w:rsidR="00224948" w:rsidRPr="00962B27" w:rsidTr="00962B27">
        <w:trPr>
          <w:trHeight w:val="118"/>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ARRA Certification Support</w:t>
            </w:r>
          </w:p>
        </w:tc>
        <w:tc>
          <w:tcPr>
            <w:tcW w:w="1832" w:type="dxa"/>
            <w:tcBorders>
              <w:top w:val="outset" w:sz="6" w:space="0" w:color="5F5F5F"/>
              <w:left w:val="outset" w:sz="6" w:space="0" w:color="5F5F5F"/>
              <w:bottom w:val="outset" w:sz="6" w:space="0" w:color="5F5F5F"/>
              <w:right w:val="outset" w:sz="6" w:space="0" w:color="5F5F5F"/>
            </w:tcBorders>
            <w:shd w:val="clear" w:color="auto" w:fill="EFEFEF"/>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Available in Premium + </w:t>
            </w:r>
          </w:p>
        </w:tc>
      </w:tr>
      <w:tr w:rsidR="00224948" w:rsidRPr="00962B27" w:rsidTr="00962B27">
        <w:trPr>
          <w:trHeight w:val="118"/>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800# Access ($55)</w:t>
            </w:r>
          </w:p>
        </w:tc>
        <w:tc>
          <w:tcPr>
            <w:tcW w:w="1832" w:type="dxa"/>
            <w:tcBorders>
              <w:top w:val="outset" w:sz="6" w:space="0" w:color="5F5F5F"/>
              <w:left w:val="outset" w:sz="6" w:space="0" w:color="5F5F5F"/>
              <w:bottom w:val="outset" w:sz="6" w:space="0" w:color="5F5F5F"/>
              <w:right w:val="outset" w:sz="6" w:space="0" w:color="5F5F5F"/>
            </w:tcBorders>
            <w:shd w:val="clear" w:color="auto" w:fill="EFEFEF"/>
            <w:vAlign w:val="center"/>
            <w:hideMark/>
          </w:tcPr>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Available in Premium + </w:t>
            </w:r>
          </w:p>
        </w:tc>
      </w:tr>
      <w:tr w:rsidR="00224948" w:rsidRPr="00962B27" w:rsidTr="00962B27">
        <w:trPr>
          <w:trHeight w:val="118"/>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 xml:space="preserve">Phone </w:t>
            </w:r>
            <w:proofErr w:type="spellStart"/>
            <w:r w:rsidRPr="00962B27">
              <w:rPr>
                <w:rFonts w:ascii="Times New Roman" w:eastAsia="Times New Roman" w:hAnsi="Times New Roman" w:cs="Times New Roman"/>
                <w:sz w:val="16"/>
                <w:szCs w:val="16"/>
              </w:rPr>
              <w:t>Que</w:t>
            </w:r>
            <w:proofErr w:type="spellEnd"/>
            <w:r w:rsidRPr="00962B27">
              <w:rPr>
                <w:rFonts w:ascii="Times New Roman" w:eastAsia="Times New Roman" w:hAnsi="Times New Roman" w:cs="Times New Roman"/>
                <w:sz w:val="16"/>
                <w:szCs w:val="16"/>
              </w:rPr>
              <w:t xml:space="preserve"> Priority</w:t>
            </w:r>
          </w:p>
        </w:tc>
        <w:tc>
          <w:tcPr>
            <w:tcW w:w="1832" w:type="dxa"/>
            <w:tcBorders>
              <w:top w:val="outset" w:sz="6" w:space="0" w:color="5F5F5F"/>
              <w:left w:val="outset" w:sz="6" w:space="0" w:color="5F5F5F"/>
              <w:bottom w:val="outset" w:sz="6" w:space="0" w:color="5F5F5F"/>
              <w:right w:val="outset" w:sz="6" w:space="0" w:color="5F5F5F"/>
            </w:tcBorders>
            <w:shd w:val="clear" w:color="auto" w:fill="EFEFEF"/>
            <w:vAlign w:val="center"/>
            <w:hideMark/>
          </w:tcPr>
          <w:p w:rsidR="00224948" w:rsidRPr="00962B27" w:rsidRDefault="00962B27" w:rsidP="00224948">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Not yet avail </w:t>
            </w:r>
          </w:p>
        </w:tc>
      </w:tr>
      <w:tr w:rsidR="00224948" w:rsidRPr="00962B27" w:rsidTr="00962B27">
        <w:trPr>
          <w:trHeight w:val="118"/>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Detailed Infrastructure Assessment ($150)</w:t>
            </w:r>
          </w:p>
        </w:tc>
        <w:tc>
          <w:tcPr>
            <w:tcW w:w="1832" w:type="dxa"/>
            <w:tcBorders>
              <w:top w:val="outset" w:sz="6" w:space="0" w:color="5F5F5F"/>
              <w:left w:val="outset" w:sz="6" w:space="0" w:color="5F5F5F"/>
              <w:bottom w:val="outset" w:sz="6" w:space="0" w:color="5F5F5F"/>
              <w:right w:val="outset" w:sz="6" w:space="0" w:color="5F5F5F"/>
            </w:tcBorders>
            <w:shd w:val="clear" w:color="auto" w:fill="EFEFEF"/>
            <w:vAlign w:val="center"/>
            <w:hideMark/>
          </w:tcPr>
          <w:p w:rsidR="00224948" w:rsidRPr="00962B27" w:rsidRDefault="00962B27" w:rsidP="00224948">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yet avail</w:t>
            </w:r>
            <w:r w:rsidR="00224948" w:rsidRPr="00962B27">
              <w:rPr>
                <w:rFonts w:ascii="Times New Roman" w:eastAsia="Times New Roman" w:hAnsi="Times New Roman" w:cs="Times New Roman"/>
                <w:sz w:val="16"/>
                <w:szCs w:val="16"/>
              </w:rPr>
              <w:t> </w:t>
            </w:r>
          </w:p>
        </w:tc>
      </w:tr>
      <w:tr w:rsidR="00224948" w:rsidRPr="00962B27" w:rsidTr="00962B27">
        <w:trPr>
          <w:trHeight w:val="118"/>
          <w:tblCellSpacing w:w="0" w:type="dxa"/>
          <w:jc w:val="center"/>
        </w:trPr>
        <w:tc>
          <w:tcPr>
            <w:tcW w:w="3352" w:type="dxa"/>
            <w:tcBorders>
              <w:top w:val="outset" w:sz="6" w:space="0" w:color="5F5F5F"/>
              <w:left w:val="outset" w:sz="6" w:space="0" w:color="5F5F5F"/>
              <w:bottom w:val="outset" w:sz="6" w:space="0" w:color="5F5F5F"/>
              <w:right w:val="outset" w:sz="6" w:space="0" w:color="5F5F5F"/>
            </w:tcBorders>
            <w:shd w:val="clear" w:color="auto" w:fill="FFFFFF"/>
            <w:vAlign w:val="center"/>
            <w:hideMark/>
          </w:tcPr>
          <w:p w:rsidR="00224948" w:rsidRPr="00962B27" w:rsidRDefault="00224948" w:rsidP="00224948">
            <w:pPr>
              <w:spacing w:after="0" w:line="240" w:lineRule="auto"/>
              <w:jc w:val="right"/>
              <w:rPr>
                <w:rFonts w:ascii="Times New Roman" w:eastAsia="Times New Roman" w:hAnsi="Times New Roman" w:cs="Times New Roman"/>
                <w:sz w:val="16"/>
                <w:szCs w:val="16"/>
              </w:rPr>
            </w:pPr>
            <w:r w:rsidRPr="00962B27">
              <w:rPr>
                <w:rFonts w:ascii="Times New Roman" w:eastAsia="Times New Roman" w:hAnsi="Times New Roman" w:cs="Times New Roman"/>
                <w:sz w:val="16"/>
                <w:szCs w:val="16"/>
              </w:rPr>
              <w:t>Data Conversion ($500-$1,000)</w:t>
            </w:r>
          </w:p>
        </w:tc>
        <w:tc>
          <w:tcPr>
            <w:tcW w:w="1832" w:type="dxa"/>
            <w:tcBorders>
              <w:top w:val="outset" w:sz="6" w:space="0" w:color="5F5F5F"/>
              <w:left w:val="outset" w:sz="6" w:space="0" w:color="5F5F5F"/>
              <w:bottom w:val="outset" w:sz="6" w:space="0" w:color="5F5F5F"/>
              <w:right w:val="outset" w:sz="6" w:space="0" w:color="5F5F5F"/>
            </w:tcBorders>
            <w:shd w:val="clear" w:color="auto" w:fill="EFEFEF"/>
            <w:vAlign w:val="center"/>
            <w:hideMark/>
          </w:tcPr>
          <w:p w:rsidR="00224948" w:rsidRPr="00962B27" w:rsidRDefault="00962B27" w:rsidP="00224948">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yet avail</w:t>
            </w:r>
            <w:r w:rsidR="00224948" w:rsidRPr="00962B27">
              <w:rPr>
                <w:rFonts w:ascii="Times New Roman" w:eastAsia="Times New Roman" w:hAnsi="Times New Roman" w:cs="Times New Roman"/>
                <w:sz w:val="16"/>
                <w:szCs w:val="16"/>
              </w:rPr>
              <w:t> </w:t>
            </w:r>
          </w:p>
        </w:tc>
      </w:tr>
      <w:tr w:rsidR="00224948" w:rsidRPr="00962B27" w:rsidTr="00962B27">
        <w:trPr>
          <w:trHeight w:val="647"/>
          <w:tblCellSpacing w:w="0" w:type="dxa"/>
          <w:jc w:val="center"/>
        </w:trPr>
        <w:tc>
          <w:tcPr>
            <w:tcW w:w="0" w:type="auto"/>
            <w:gridSpan w:val="2"/>
            <w:tcBorders>
              <w:top w:val="outset" w:sz="6" w:space="0" w:color="5F5F5F"/>
              <w:left w:val="outset" w:sz="6" w:space="0" w:color="5F5F5F"/>
              <w:bottom w:val="outset" w:sz="6" w:space="0" w:color="5F5F5F"/>
              <w:right w:val="outset" w:sz="6" w:space="0" w:color="5F5F5F"/>
            </w:tcBorders>
            <w:shd w:val="clear" w:color="auto" w:fill="847DC1"/>
            <w:vAlign w:val="center"/>
            <w:hideMark/>
          </w:tcPr>
          <w:p w:rsidR="00962B27" w:rsidRPr="00962B27" w:rsidRDefault="00224948" w:rsidP="00962B27">
            <w:pPr>
              <w:rPr>
                <w:sz w:val="16"/>
                <w:szCs w:val="16"/>
              </w:rPr>
            </w:pPr>
            <w:r w:rsidRPr="00962B27">
              <w:rPr>
                <w:rFonts w:ascii="Times New Roman" w:eastAsia="Times New Roman" w:hAnsi="Times New Roman" w:cs="Times New Roman"/>
                <w:color w:val="FFFFFF"/>
                <w:sz w:val="16"/>
                <w:szCs w:val="16"/>
              </w:rPr>
              <w:t>ChiroTouch Maintenance &amp; Support Per Term</w:t>
            </w:r>
            <w:r w:rsidRPr="00962B27">
              <w:rPr>
                <w:rFonts w:ascii="Times New Roman" w:eastAsia="Times New Roman" w:hAnsi="Times New Roman" w:cs="Times New Roman"/>
                <w:sz w:val="16"/>
                <w:szCs w:val="16"/>
              </w:rPr>
              <w:br/>
            </w:r>
            <w:r w:rsidRPr="00962B27">
              <w:rPr>
                <w:rFonts w:ascii="Times New Roman" w:eastAsia="Times New Roman" w:hAnsi="Times New Roman" w:cs="Times New Roman"/>
                <w:b/>
                <w:bCs/>
                <w:color w:val="FFFFFF"/>
                <w:sz w:val="16"/>
                <w:szCs w:val="16"/>
              </w:rPr>
              <w:t>Annual Plan:</w:t>
            </w:r>
            <w:r w:rsidRPr="00962B27">
              <w:rPr>
                <w:rFonts w:ascii="Times New Roman" w:eastAsia="Times New Roman" w:hAnsi="Times New Roman" w:cs="Times New Roman"/>
                <w:color w:val="FFFFFF"/>
                <w:sz w:val="16"/>
                <w:szCs w:val="16"/>
              </w:rPr>
              <w:t xml:space="preserve"> $995.00 one-time annual payment</w:t>
            </w:r>
            <w:r w:rsidRPr="00962B27">
              <w:rPr>
                <w:rFonts w:ascii="Times New Roman" w:eastAsia="Times New Roman" w:hAnsi="Times New Roman" w:cs="Times New Roman"/>
                <w:color w:val="FFFFFF"/>
                <w:sz w:val="16"/>
                <w:szCs w:val="16"/>
              </w:rPr>
              <w:br/>
            </w:r>
          </w:p>
          <w:p w:rsidR="00224948" w:rsidRPr="00962B27" w:rsidRDefault="00224948" w:rsidP="00224948">
            <w:pPr>
              <w:spacing w:after="0" w:line="240" w:lineRule="auto"/>
              <w:jc w:val="center"/>
              <w:rPr>
                <w:rFonts w:ascii="Times New Roman" w:eastAsia="Times New Roman" w:hAnsi="Times New Roman" w:cs="Times New Roman"/>
                <w:sz w:val="16"/>
                <w:szCs w:val="16"/>
              </w:rPr>
            </w:pPr>
            <w:r w:rsidRPr="00962B27">
              <w:rPr>
                <w:rFonts w:ascii="Times New Roman" w:eastAsia="Times New Roman" w:hAnsi="Times New Roman" w:cs="Times New Roman"/>
                <w:b/>
                <w:bCs/>
                <w:color w:val="FFFFFF"/>
                <w:sz w:val="16"/>
                <w:szCs w:val="16"/>
              </w:rPr>
              <w:t>Monthly Plan:</w:t>
            </w:r>
            <w:r w:rsidRPr="00962B27">
              <w:rPr>
                <w:rFonts w:ascii="Times New Roman" w:eastAsia="Times New Roman" w:hAnsi="Times New Roman" w:cs="Times New Roman"/>
                <w:color w:val="FFFFFF"/>
                <w:sz w:val="16"/>
                <w:szCs w:val="16"/>
              </w:rPr>
              <w:t xml:space="preserve"> $99.50 per month</w:t>
            </w:r>
          </w:p>
        </w:tc>
      </w:tr>
    </w:tbl>
    <w:p w:rsidR="00962B27" w:rsidRDefault="00962B27" w:rsidP="00962B27">
      <w:pPr>
        <w:rPr>
          <w:sz w:val="16"/>
          <w:szCs w:val="16"/>
        </w:rPr>
      </w:pPr>
    </w:p>
    <w:p w:rsidR="00902EFF" w:rsidRPr="00962B27" w:rsidRDefault="00962B27" w:rsidP="00962B27">
      <w:pPr>
        <w:rPr>
          <w:sz w:val="16"/>
          <w:szCs w:val="16"/>
        </w:rPr>
      </w:pPr>
      <w:bookmarkStart w:id="0" w:name="_GoBack"/>
      <w:bookmarkEnd w:id="0"/>
      <w:r w:rsidRPr="00962B27">
        <w:rPr>
          <w:sz w:val="16"/>
          <w:szCs w:val="16"/>
        </w:rPr>
        <w:t>We care about the success of each and every DC running ChiroTouch EHR solutions and are here to help ensure you receive the software upgrades, support, and training you and your staff need to stay compliant, bill effectively, and avoid rejections or audits.</w:t>
      </w:r>
    </w:p>
    <w:sectPr w:rsidR="00902EFF" w:rsidRPr="00962B2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4CA" w:rsidRDefault="001314CA" w:rsidP="00224948">
      <w:pPr>
        <w:spacing w:after="0" w:line="240" w:lineRule="auto"/>
      </w:pPr>
      <w:r>
        <w:separator/>
      </w:r>
    </w:p>
  </w:endnote>
  <w:endnote w:type="continuationSeparator" w:id="0">
    <w:p w:rsidR="001314CA" w:rsidRDefault="001314CA" w:rsidP="0022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4CA" w:rsidRDefault="001314CA" w:rsidP="00224948">
      <w:pPr>
        <w:spacing w:after="0" w:line="240" w:lineRule="auto"/>
      </w:pPr>
      <w:r>
        <w:separator/>
      </w:r>
    </w:p>
  </w:footnote>
  <w:footnote w:type="continuationSeparator" w:id="0">
    <w:p w:rsidR="001314CA" w:rsidRDefault="001314CA" w:rsidP="00224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48" w:rsidRPr="00962B27" w:rsidRDefault="00224948">
    <w:pPr>
      <w:pStyle w:val="Header"/>
      <w:rPr>
        <w:b/>
        <w:color w:val="7030A0"/>
        <w:u w:val="single"/>
      </w:rPr>
    </w:pPr>
    <w:r w:rsidRPr="00962B27">
      <w:rPr>
        <w:b/>
        <w:color w:val="7030A0"/>
        <w:u w:val="single"/>
      </w:rPr>
      <w:t xml:space="preserve">New Standard + support contract talking points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36452"/>
    <w:multiLevelType w:val="multilevel"/>
    <w:tmpl w:val="D474D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48"/>
    <w:rsid w:val="001314CA"/>
    <w:rsid w:val="00224948"/>
    <w:rsid w:val="007C24DA"/>
    <w:rsid w:val="00902EFF"/>
    <w:rsid w:val="0096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948"/>
    <w:rPr>
      <w:rFonts w:ascii="Tahoma" w:hAnsi="Tahoma" w:cs="Tahoma"/>
      <w:sz w:val="16"/>
      <w:szCs w:val="16"/>
    </w:rPr>
  </w:style>
  <w:style w:type="paragraph" w:styleId="Header">
    <w:name w:val="header"/>
    <w:basedOn w:val="Normal"/>
    <w:link w:val="HeaderChar"/>
    <w:uiPriority w:val="99"/>
    <w:unhideWhenUsed/>
    <w:rsid w:val="00224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948"/>
  </w:style>
  <w:style w:type="paragraph" w:styleId="Footer">
    <w:name w:val="footer"/>
    <w:basedOn w:val="Normal"/>
    <w:link w:val="FooterChar"/>
    <w:uiPriority w:val="99"/>
    <w:unhideWhenUsed/>
    <w:rsid w:val="00224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9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948"/>
    <w:rPr>
      <w:rFonts w:ascii="Tahoma" w:hAnsi="Tahoma" w:cs="Tahoma"/>
      <w:sz w:val="16"/>
      <w:szCs w:val="16"/>
    </w:rPr>
  </w:style>
  <w:style w:type="paragraph" w:styleId="Header">
    <w:name w:val="header"/>
    <w:basedOn w:val="Normal"/>
    <w:link w:val="HeaderChar"/>
    <w:uiPriority w:val="99"/>
    <w:unhideWhenUsed/>
    <w:rsid w:val="00224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948"/>
  </w:style>
  <w:style w:type="paragraph" w:styleId="Footer">
    <w:name w:val="footer"/>
    <w:basedOn w:val="Normal"/>
    <w:link w:val="FooterChar"/>
    <w:uiPriority w:val="99"/>
    <w:unhideWhenUsed/>
    <w:rsid w:val="00224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Peppler</dc:creator>
  <cp:lastModifiedBy>Laurence Peppler</cp:lastModifiedBy>
  <cp:revision>2</cp:revision>
  <cp:lastPrinted>2015-03-19T20:32:00Z</cp:lastPrinted>
  <dcterms:created xsi:type="dcterms:W3CDTF">2015-03-19T20:41:00Z</dcterms:created>
  <dcterms:modified xsi:type="dcterms:W3CDTF">2015-03-19T20:41:00Z</dcterms:modified>
</cp:coreProperties>
</file>