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234"/>
          </w:tcPr>
          <w:p>
            <w:pPr>
              <w:pStyle w:val="CsvTableText"/>
            </w:pPr>
            <w:r>
              <w:rPr>
                <w:b/>
              </w:rPr>
              <w:t>Наименование статей расходов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rPr>
                <w:b/>
              </w:rPr>
              <w:t>Изделие А на единицу, руб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rPr>
                <w:b/>
              </w:rPr>
              <w:t>Изделие А на годовой выпуск, тыс.руб.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rPr>
                <w:b/>
              </w:rPr>
              <w:t>Изделие Б на единицу, руб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rPr>
                <w:b/>
              </w:rPr>
              <w:t>Изделие Б на годовой выпуск, тыс.руб.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rPr>
                <w:b/>
              </w:rPr>
              <w:t>Себестоимость годового выпуска продукции, тыс.руб.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rPr>
                <w:b/>
              </w:rPr>
              <w:t>Структура расходов,%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1. Основные материалы за вычетом возвратных отходов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12835.8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1078.21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2270.16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95.35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1173.55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2.54%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2. Покупные полуфабрикаты и комплектующие изделия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175427.0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14735.87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53140.5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2231.9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16967.77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36.67%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3. Топливо и энергия на технологические потребности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2673.1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224.54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616.3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25.88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250.43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0.54%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4. Основная заработная плата производственных рабочих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20158.6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1693.32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6733.38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282.8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1976.12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4.27%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5. Дополнительная заработная плата производственных рабочих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8063.44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677.33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2693.35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113.12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790.45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1.71%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6. Отчисление в фонды социальных мероприятий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6208.85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521.54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2073.88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87.1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608.65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1.32%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7. Расходы по содержанию и эксплуатации оборудования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17537.98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1473.19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5858.04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246.04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1719.23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3.72%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8. Общепроизводственные расходы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17134.81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1439.32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5723.37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240.38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1679.71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3.63%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9. Общехозяйственные расходы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19755.43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1659.46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6598.71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277.15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1936.6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4.19%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ВСЕГО производственная себестоимость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455222.01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38238.65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138848.19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5831.62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44070.27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95.24%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10. Внепроизводственные расходы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22761.1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1911.93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6942.41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291.58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2203.51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4.76%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ВСЕГО полная (коммерческая) себестоимость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477983.11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40150.58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145790.6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6123.21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46273.79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100.00%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11. Прибыль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95596.62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8030.12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29158.12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1224.64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9254.76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20.00%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12. Оптовая (отпускная) цена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573579.73</w:t>
            </w:r>
          </w:p>
        </w:tc>
        <w:tc>
          <w:tcPr>
            <w:tcW w:type="dxa" w:w="1234"/>
          </w:tcPr>
          <w:p>
            <w:pPr>
              <w:pStyle w:val="CsvTableText"/>
            </w:pPr>
            <w:r/>
          </w:p>
        </w:tc>
        <w:tc>
          <w:tcPr>
            <w:tcW w:type="dxa" w:w="1234"/>
          </w:tcPr>
          <w:p>
            <w:pPr>
              <w:pStyle w:val="CsvTableText"/>
            </w:pPr>
            <w:r>
              <w:t>174948.72</w:t>
            </w:r>
          </w:p>
        </w:tc>
        <w:tc>
          <w:tcPr>
            <w:tcW w:type="dxa" w:w="1234"/>
          </w:tcPr>
          <w:p>
            <w:pPr>
              <w:pStyle w:val="CsvTableText"/>
            </w:pPr>
            <w:r/>
          </w:p>
        </w:tc>
        <w:tc>
          <w:tcPr>
            <w:tcW w:type="dxa" w:w="1234"/>
          </w:tcPr>
          <w:p>
            <w:pPr>
              <w:pStyle w:val="CsvTableText"/>
            </w:pPr>
            <w:r/>
          </w:p>
        </w:tc>
        <w:tc>
          <w:tcPr>
            <w:tcW w:type="dxa" w:w="1234"/>
          </w:tcPr>
          <w:p>
            <w:pPr>
              <w:pStyle w:val="CsvTableText"/>
            </w:pPr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svTableText">
    <w:name w:val="CsvTableText"/>
    <w:basedOn w:val="Normal"/>
    <w:pPr>
      <w:spacing w:before="0" w:after="0"/>
      <w:ind w:firstLine="0" w:left="0"/>
    </w:pPr>
    <w:rPr>
      <w:rFonts w:ascii="Times New Roman" w:hAnsi="Times New Roman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