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1728"/>
      </w:tblGrid>
      <w:tr>
        <w:tc>
          <w:tcPr>
            <w:tcW w:type="dxa" w:w="4320"/>
          </w:tcPr>
          <w:p>
            <w:pPr>
              <w:pStyle w:val="CsvTableText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pPr>
              <w:pStyle w:val="CsvTableText"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pStyle w:val="CsvTableText"/>
            </w:pPr>
            <w:r>
              <w:t>Стоимость рабочих машин и оборудования на начало года, тыс.руб</w:t>
            </w:r>
          </w:p>
        </w:tc>
        <w:tc>
          <w:tcPr>
            <w:tcW w:type="dxa" w:w="4320"/>
          </w:tcPr>
          <w:p>
            <w:pPr>
              <w:pStyle w:val="CsvTableText"/>
            </w:pPr>
            <w:r>
              <w:t>20360</w:t>
            </w:r>
          </w:p>
        </w:tc>
      </w:tr>
      <w:tr>
        <w:tc>
          <w:tcPr>
            <w:tcW w:type="dxa" w:w="4320"/>
          </w:tcPr>
          <w:p>
            <w:pPr>
              <w:pStyle w:val="CsvTableText"/>
            </w:pPr>
            <w:r>
              <w:t>Группа основных фондов, которые вводятся</w:t>
            </w:r>
          </w:p>
        </w:tc>
        <w:tc>
          <w:tcPr>
            <w:tcW w:type="dxa" w:w="4320"/>
          </w:tcPr>
          <w:p>
            <w:pPr>
              <w:pStyle w:val="CsvTableText"/>
            </w:pPr>
            <w:r>
              <w:t>Здания</w:t>
            </w:r>
          </w:p>
        </w:tc>
      </w:tr>
      <w:tr>
        <w:tc>
          <w:tcPr>
            <w:tcW w:type="dxa" w:w="4320"/>
          </w:tcPr>
          <w:p>
            <w:pPr>
              <w:pStyle w:val="CsvTableText"/>
            </w:pPr>
            <w:r>
              <w:t>Группа основных фондов, которые выбывают</w:t>
            </w:r>
          </w:p>
        </w:tc>
        <w:tc>
          <w:tcPr>
            <w:tcW w:type="dxa" w:w="4320"/>
          </w:tcPr>
          <w:p>
            <w:pPr>
              <w:pStyle w:val="CsvTableText"/>
            </w:pPr>
            <w:r>
              <w:t>Сооружения</w:t>
            </w:r>
          </w:p>
        </w:tc>
      </w:tr>
      <w:tr>
        <w:tc>
          <w:tcPr>
            <w:tcW w:type="dxa" w:w="4320"/>
          </w:tcPr>
          <w:p>
            <w:pPr>
              <w:pStyle w:val="CsvTableText"/>
            </w:pPr>
            <w:r>
              <w:t>Стоимость основных фондов, которые вводятся, в % к первоначальной стоимости соответствующей группы</w:t>
            </w:r>
          </w:p>
        </w:tc>
        <w:tc>
          <w:tcPr>
            <w:tcW w:type="dxa" w:w="4320"/>
          </w:tcPr>
          <w:p>
            <w:pPr>
              <w:pStyle w:val="CsvTableText"/>
            </w:pPr>
            <w:r>
              <w:t>2.0</w:t>
            </w:r>
          </w:p>
        </w:tc>
      </w:tr>
      <w:tr>
        <w:tc>
          <w:tcPr>
            <w:tcW w:type="dxa" w:w="4320"/>
          </w:tcPr>
          <w:p>
            <w:pPr>
              <w:pStyle w:val="CsvTableText"/>
            </w:pPr>
            <w:r>
              <w:t>Стоимость основных фондов, которые выбывают, в % к первоначальной стоимости соответствующей группы</w:t>
            </w:r>
          </w:p>
        </w:tc>
        <w:tc>
          <w:tcPr>
            <w:tcW w:type="dxa" w:w="4320"/>
          </w:tcPr>
          <w:p>
            <w:pPr>
              <w:pStyle w:val="CsvTableText"/>
            </w:pPr>
            <w:r>
              <w:t>1.5</w:t>
            </w:r>
          </w:p>
        </w:tc>
      </w:tr>
      <w:tr>
        <w:tc>
          <w:tcPr>
            <w:tcW w:type="dxa" w:w="4320"/>
          </w:tcPr>
          <w:p>
            <w:pPr>
              <w:pStyle w:val="CsvTableText"/>
            </w:pPr>
            <w:r>
              <w:t>Месяц введения основных фондов</w:t>
            </w:r>
          </w:p>
        </w:tc>
        <w:tc>
          <w:tcPr>
            <w:tcW w:type="dxa" w:w="4320"/>
          </w:tcPr>
          <w:p>
            <w:pPr>
              <w:pStyle w:val="CsvTableText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pPr>
              <w:pStyle w:val="CsvTableText"/>
            </w:pPr>
            <w:r>
              <w:t>Месяц выведения основных фондов</w:t>
            </w:r>
          </w:p>
        </w:tc>
        <w:tc>
          <w:tcPr>
            <w:tcW w:type="dxa" w:w="4320"/>
          </w:tcPr>
          <w:p>
            <w:pPr>
              <w:pStyle w:val="CsvTableText"/>
            </w:pPr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vTableText">
    <w:name w:val="CsvTableText"/>
    <w:basedOn w:val="Normal"/>
    <w:pPr>
      <w:spacing w:before="0" w:after="0"/>
      <w:ind w:firstLine="0" w:left="0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