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234"/>
          </w:tcPr>
          <w:p>
            <w:pPr>
              <w:pStyle w:val="CsvTableText"/>
            </w:pPr>
            <w:r>
              <w:rPr>
                <w:b/>
              </w:rPr>
              <w:t>№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rPr>
                <w:b/>
              </w:rPr>
              <w:t>Наименование элементов оборотных средств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rPr>
                <w:b/>
              </w:rPr>
              <w:t>Условные обозначения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rPr>
                <w:b/>
              </w:rPr>
              <w:t>Изделие А, тыс. руб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rPr>
                <w:b/>
              </w:rPr>
              <w:t>Изделие Б, тыс. руб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rPr>
                <w:b/>
              </w:rPr>
              <w:t>Сумма, тыс. руб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rPr>
                <w:b/>
              </w:rPr>
              <w:t>В % всего</w:t>
            </w:r>
          </w:p>
        </w:tc>
      </w:tr>
      <w:tr>
        <w:tc>
          <w:tcPr>
            <w:tcW w:type="dxa" w:w="1234"/>
          </w:tcPr>
          <w:p>
            <w:pPr>
              <w:pStyle w:val="CsvTableText"/>
            </w:pPr>
            <w:r>
              <w:t>1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Производственные запасы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ОСпз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1758.51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811.95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2570.46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49.34</w:t>
            </w:r>
          </w:p>
        </w:tc>
      </w:tr>
      <w:tr>
        <w:tc>
          <w:tcPr>
            <w:tcW w:type="dxa" w:w="1234"/>
          </w:tcPr>
          <w:p>
            <w:pPr>
              <w:pStyle w:val="CsvTableText"/>
            </w:pPr>
            <w:r>
              <w:t>2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Незавершенное производство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ОСнп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750.73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56.66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807.39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15.5</w:t>
            </w:r>
          </w:p>
        </w:tc>
      </w:tr>
      <w:tr>
        <w:tc>
          <w:tcPr>
            <w:tcW w:type="dxa" w:w="1234"/>
          </w:tcPr>
          <w:p>
            <w:pPr>
              <w:pStyle w:val="CsvTableText"/>
            </w:pPr>
            <w:r>
              <w:t>3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Расходы будущих периодов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ОСрбп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700.0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690.0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1390.0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26.68</w:t>
            </w:r>
          </w:p>
        </w:tc>
      </w:tr>
      <w:tr>
        <w:tc>
          <w:tcPr>
            <w:tcW w:type="dxa" w:w="1234"/>
          </w:tcPr>
          <w:p>
            <w:pPr>
              <w:pStyle w:val="CsvTableText"/>
            </w:pPr>
            <w:r>
              <w:t>4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Готовая продукция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ОСгп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401.51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40.82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442.33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8.49</w:t>
            </w:r>
          </w:p>
        </w:tc>
      </w:tr>
      <w:tr>
        <w:tc>
          <w:tcPr>
            <w:tcW w:type="dxa" w:w="1234"/>
          </w:tcPr>
          <w:p>
            <w:pPr>
              <w:pStyle w:val="CsvTableText"/>
            </w:pPr>
            <w:r>
              <w:t>5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Всего</w:t>
            </w:r>
          </w:p>
        </w:tc>
        <w:tc>
          <w:tcPr>
            <w:tcW w:type="dxa" w:w="1234"/>
          </w:tcPr>
          <w:p>
            <w:pPr>
              <w:pStyle w:val="CsvTableText"/>
            </w:pPr>
            <w:r/>
          </w:p>
        </w:tc>
        <w:tc>
          <w:tcPr>
            <w:tcW w:type="dxa" w:w="1234"/>
          </w:tcPr>
          <w:p>
            <w:pPr>
              <w:pStyle w:val="CsvTableText"/>
            </w:pPr>
            <w:r>
              <w:t>3610.75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1599.43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5210.18</w:t>
            </w:r>
          </w:p>
        </w:tc>
        <w:tc>
          <w:tcPr>
            <w:tcW w:type="dxa" w:w="1234"/>
          </w:tcPr>
          <w:p>
            <w:pPr>
              <w:pStyle w:val="CsvTableText"/>
            </w:pPr>
            <w:r>
              <w:t>100.0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svTableText">
    <w:name w:val="CsvTableText"/>
    <w:basedOn w:val="Normal"/>
    <w:pPr>
      <w:spacing w:before="0" w:after="0"/>
      <w:ind w:firstLine="0" w:left="0"/>
    </w:pPr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