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  <w:spacing w:before="240" w:after="120"/>
      </w:pPr>
      <w:r>
        <w:rPr>
          <w:b/>
          <w:sz w:val="36"/>
          <w:szCs w:val="36"/>
        </w:rPr>
        <w:t xml:space="preserve">EssayFlow M0 中英文验收</w:t>
      </w:r>
    </w:p>
    <w:p>
      <w:pPr>
        <w:jc w:val="center"/>
      </w:pPr>
      <w:r>
        <w:t xml:space="preserve">合成测试作者</w:t>
      </w:r>
    </w:p>
    <w:p>
      <w:pPr>
        <w:jc w:val="center"/>
      </w:pPr>
      <w:r>
        <w:t xml:space="preserve">Research Methods</w:t>
      </w:r>
    </w:p>
    <w:p>
      <w:pPr>
        <w:jc w:val="both"/>
      </w:pPr>
      <w:r>
        <w:br/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>正文中英文混合段落：Evidence-driven writing remains traceable. M0_AUTOSAVE_DURABLE_SENTINEL</w:t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>研究方法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</w:tcPr>
          <w:p>
            <w:r>
              <w:br/>
            </w:r>
          </w:p>
        </w:tc>
        <w:tc>
          <w:tcPr>
            <w:tcW w:w="0" w:type="auto"/>
          </w:tcPr>
          <w:p>
            <w:r>
              <w:br/>
            </w:r>
          </w:p>
        </w:tc>
      </w:tr>
      <w:tr>
        <w:tc>
          <w:tcPr>
            <w:tcW w:w="0" w:type="auto"/>
          </w:tcPr>
          <w:p>
            <w:r>
              <w:br/>
            </w:r>
          </w:p>
        </w:tc>
        <w:tc>
          <w:tcPr>
            <w:tcW w:w="0" w:type="auto"/>
          </w:tcPr>
          <w:p>
            <w:r>
              <w:br/>
            </w:r>
          </w:p>
        </w:tc>
      </w:tr>
    </w:tbl>
    <w:p>
      <w:pPr>
        <w:jc w:val="both"/>
      </w:pPr>
      <w:r>
        <w:br/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/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>证据链</w:t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/>
      </w:r>
    </w:p>
    <w:p>
      <w:pPr>
        <w:jc w:val="both"/>
      </w:pPr>
      <w:r>
        <w:rPr>
          <w:vertAlign w:val="superscript"/>
        </w:rPr>
        <w:t xml:space="preserve">(Alice Fixture &amp; 王明, 2024)</w:t>
      </w:r>
    </w:p>
    <w:p>
      <w:pPr>
        <w:jc w:val="both"/>
      </w:pPr>
      <w:r>
        <w:br/>
      </w:r>
    </w:p>
    <w:p>
      <w:pPr>
        <w:pStyle w:val="Heading2"/>
        <w:jc w:val="left"/>
        <w:spacing w:before="200" w:after="100"/>
      </w:pPr>
      <w:r>
        <w:rPr>
          <w:b/>
          <w:sz w:val="28"/>
          <w:szCs w:val="28"/>
        </w:rPr>
        <w:t xml:space="preserve">参考文献</w:t>
      </w:r>
    </w:p>
    <w:p>
      <w:pPr>
        <w:jc w:val="both"/>
      </w:pPr>
      <w:r>
        <w:t xml:space="preserve">Alice Fixture &amp; 王明. (2024). Traceable Evidence for Synthetic Acceptance Testing. </w:t>
      </w:r>
      <w:r>
        <w:rPr>
          <w:i/>
          <w:iCs/>
        </w:rPr>
        <w:t xml:space="preserve">Fixture Journal</w:t>
      </w:r>
      <w:r>
        <w:t xml:space="preserve">. https://doi.org/10.5555/essayflow.m0</w:t>
      </w:r>
    </w:p>
  </w:body>
</w:document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image" Target="media/image1.png"/>
</Relationships>
</file>