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CÂMARA MUNICIPAL DE BOA VISTA – RR</w:t>
      </w:r>
    </w:p>
    <w:p>
      <w:pPr>
        <w:jc w:val="center"/>
      </w:pPr>
      <w:r>
        <w:rPr>
          <w:rFonts w:ascii="Calibri" w:hAnsi="Calibri"/>
          <w:b/>
          <w:color w:val="1B3A5C"/>
          <w:sz w:val="22"/>
        </w:rPr>
        <w:t>GABINETE DA VEREADORA CAROL DANTAS</w:t>
      </w:r>
    </w:p>
    <w:p>
      <w:pPr>
        <w:jc w:val="center"/>
      </w:pPr>
      <w:r>
        <w:rPr>
          <w:rFonts w:ascii="Calibri" w:hAnsi="Calibri"/>
          <w:color w:val="555555"/>
          <w:sz w:val="20"/>
        </w:rPr>
        <w:t>14ª Legislatura</w:t>
      </w:r>
    </w:p>
    <w:p/>
    <w:p>
      <w:pPr>
        <w:spacing w:before="360" w:after="240"/>
        <w:jc w:val="center"/>
      </w:pPr>
      <w:r>
        <w:rPr>
          <w:rFonts w:ascii="Calibri" w:hAnsi="Calibri"/>
          <w:b/>
          <w:color w:val="1B3A5C"/>
          <w:sz w:val="36"/>
        </w:rPr>
        <w:t>NOTA TÉCNICA</w:t>
      </w:r>
    </w:p>
    <w:p>
      <w:pPr>
        <w:jc w:val="center"/>
      </w:pPr>
      <w:r>
        <w:rPr>
          <w:rFonts w:ascii="Calibri" w:hAnsi="Calibri"/>
          <w:i/>
          <w:color w:val="2C5F8A"/>
          <w:sz w:val="24"/>
        </w:rPr>
        <w:t>Relatoria de PLL de Autoria Própria pela Presidente da CASP</w:t>
        <w:br/>
        <w:t>e Atribuições da Comissão</w:t>
      </w:r>
    </w:p>
    <w:p>
      <w:pPr>
        <w:jc w:val="right"/>
      </w:pPr>
      <w:r>
        <w:rPr>
          <w:rFonts w:ascii="Calibri" w:hAnsi="Calibri"/>
          <w:color w:val="555555"/>
          <w:sz w:val="20"/>
        </w:rPr>
        <w:t>Boa Vista – RR, 18 de março de 2026</w:t>
      </w:r>
    </w:p>
    <w:p>
      <w:pPr>
        <w:spacing w:before="320" w:after="1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8"/>
        </w:rPr>
        <w:t>1. CONSULTA</w:t>
      </w:r>
    </w:p>
    <w:p>
      <w:r>
        <w:rPr>
          <w:rFonts w:ascii="Calibri" w:hAnsi="Calibri"/>
        </w:rPr>
        <w:t xml:space="preserve">Trata-se de consulta formulada pelo Gabinete da Vereadora Carol Dantas a respeito da possibilidade regimental de a Presidente da </w:t>
      </w:r>
      <w:r>
        <w:rPr>
          <w:rFonts w:ascii="Calibri" w:hAnsi="Calibri"/>
          <w:b/>
        </w:rPr>
        <w:t>Comissão de Administração, Serviços Públicos e Previdência (CASP)</w:t>
      </w:r>
      <w:r>
        <w:rPr>
          <w:rFonts w:ascii="Calibri" w:hAnsi="Calibri"/>
        </w:rPr>
        <w:t xml:space="preserve"> atuar como </w:t>
      </w:r>
      <w:r>
        <w:rPr>
          <w:rFonts w:ascii="Calibri" w:hAnsi="Calibri"/>
          <w:b/>
        </w:rPr>
        <w:t>relatora</w:t>
      </w:r>
      <w:r>
        <w:rPr>
          <w:rFonts w:ascii="Calibri" w:hAnsi="Calibri"/>
        </w:rPr>
        <w:t xml:space="preserve"> de Projeto de Lei do Legislativo (PLL) de sua própria autoria, para fins de emissão de parecer pela respectiva comissão.</w:t>
      </w:r>
    </w:p>
    <w:p>
      <w:r>
        <w:rPr>
          <w:rFonts w:ascii="Calibri" w:hAnsi="Calibri"/>
        </w:rPr>
        <w:t xml:space="preserve">Complementarmente, solicita-se esclarecimento sobre as </w:t>
      </w:r>
      <w:r>
        <w:rPr>
          <w:rFonts w:ascii="Calibri" w:hAnsi="Calibri"/>
          <w:b/>
        </w:rPr>
        <w:t>atribuições regimentais da CASP</w:t>
      </w:r>
      <w:r>
        <w:rPr>
          <w:rFonts w:ascii="Calibri" w:hAnsi="Calibri"/>
        </w:rPr>
        <w:t>.</w:t>
      </w:r>
    </w:p>
    <w:p>
      <w:pPr>
        <w:spacing w:before="320" w:after="1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8"/>
        </w:rPr>
        <w:t>2. FUNDAMENTAÇÃO REGIMENTAL</w:t>
      </w:r>
    </w:p>
    <w:p>
      <w:pPr>
        <w:spacing w:before="240" w:after="120"/>
      </w:pPr>
      <w:r>
        <w:rPr>
          <w:rFonts w:ascii="Calibri" w:hAnsi="Calibri"/>
          <w:b/>
          <w:color w:val="2C5F8A"/>
          <w:sz w:val="24"/>
        </w:rPr>
        <w:t>2.1. Base Normativa</w:t>
      </w:r>
    </w:p>
    <w:p>
      <w:r>
        <w:rPr>
          <w:rFonts w:ascii="Calibri" w:hAnsi="Calibri"/>
        </w:rPr>
        <w:t xml:space="preserve">A matéria é disciplinada pelo </w:t>
      </w:r>
      <w:r>
        <w:rPr>
          <w:rFonts w:ascii="Calibri" w:hAnsi="Calibri"/>
          <w:b/>
        </w:rPr>
        <w:t>Regimento Interno da Câmara Municipal de Boa Vista</w:t>
      </w:r>
      <w:r>
        <w:rPr>
          <w:rFonts w:ascii="Calibri" w:hAnsi="Calibri"/>
        </w:rPr>
        <w:t xml:space="preserve">, instituído pela </w:t>
      </w:r>
      <w:hyperlink r:id="rId9">
        <w:r>
          <w:rPr>
            <w:rStyle w:val="Hyperlink"/>
            <w:color w:val="2C5F8A"/>
            <w:u w:val="single"/>
            <w:sz w:val="22"/>
            <w:rFonts w:ascii="Calibri" w:hAnsi="Calibri"/>
          </w:rPr>
          <w:t xml:space="preserve">Resolução nº 93, de 16 de dezembro de 1998</w:t>
        </w:r>
      </w:hyperlink>
      <w:r>
        <w:rPr>
          <w:rFonts w:ascii="Calibri" w:hAnsi="Calibri"/>
        </w:rPr>
        <w:t>, com suas alterações posteriores, notadamente:</w:t>
      </w:r>
    </w:p>
    <w:p>
      <w:pPr>
        <w:pStyle w:val="ListBullet"/>
      </w:pPr>
      <w:hyperlink r:id="rId10">
        <w:r>
          <w:rPr>
            <w:rStyle w:val="Hyperlink"/>
            <w:color w:val="2C5F8A"/>
            <w:u w:val="single"/>
            <w:sz w:val="22"/>
            <w:rFonts w:ascii="Calibri" w:hAnsi="Calibri"/>
          </w:rPr>
          <w:t xml:space="preserve">Resolução nº 137, de 23 de novembro de 2009</w:t>
        </w:r>
      </w:hyperlink>
      <w:r>
        <w:rPr>
          <w:rFonts w:ascii="Calibri" w:hAnsi="Calibri"/>
        </w:rPr>
        <w:t xml:space="preserve"> — alterou diversos artigos, incluindo a seção de comissões;</w:t>
      </w:r>
    </w:p>
    <w:p>
      <w:pPr>
        <w:pStyle w:val="ListBullet"/>
      </w:pPr>
      <w:hyperlink r:id="rId11">
        <w:r>
          <w:rPr>
            <w:rStyle w:val="Hyperlink"/>
            <w:color w:val="2C5F8A"/>
            <w:u w:val="single"/>
            <w:sz w:val="22"/>
            <w:rFonts w:ascii="Calibri" w:hAnsi="Calibri"/>
          </w:rPr>
          <w:t xml:space="preserve">Resolução nº 226, de 29 de abril de 2021</w:t>
        </w:r>
      </w:hyperlink>
      <w:r>
        <w:rPr>
          <w:rFonts w:ascii="Calibri" w:hAnsi="Calibri"/>
        </w:rPr>
        <w:t xml:space="preserve"> — reestruturou as comissões permanentes, criou a CASP (inciso IX do Art. 49) e definiu suas atribuições (Art. 83-B).</w:t>
      </w:r>
    </w:p>
    <w:p>
      <w:pPr>
        <w:spacing w:before="240" w:after="120"/>
      </w:pPr>
      <w:r>
        <w:rPr>
          <w:rFonts w:ascii="Calibri" w:hAnsi="Calibri"/>
          <w:b/>
          <w:color w:val="2C5F8A"/>
          <w:sz w:val="24"/>
        </w:rPr>
        <w:t>2.2. A Designação do Relator nas Comissões Permanentes</w:t>
      </w:r>
    </w:p>
    <w:p>
      <w:r>
        <w:rPr>
          <w:rFonts w:ascii="Calibri" w:hAnsi="Calibri"/>
        </w:rPr>
        <w:t xml:space="preserve">O Regimento Interno disciplina a competência do </w:t>
      </w:r>
      <w:r>
        <w:rPr>
          <w:rFonts w:ascii="Calibri" w:hAnsi="Calibri"/>
          <w:b/>
        </w:rPr>
        <w:t>Presidente da Comissão</w:t>
      </w:r>
      <w:r>
        <w:rPr>
          <w:rFonts w:ascii="Calibri" w:hAnsi="Calibri"/>
        </w:rPr>
        <w:t xml:space="preserve"> para a designação de relator em dois dispositivos centrais:</w:t>
      </w:r>
    </w:p>
    <w:p>
      <w:pPr>
        <w:spacing w:before="80" w:after="80"/>
        <w:ind w:left="850"/>
        <w:pBdr>
          <w:left w:val="single" w:sz="12" w:space="8" w:color="2C5F8A"/>
        </w:pBdr>
      </w:pPr>
      <w:r>
        <w:rPr>
          <w:rFonts w:ascii="Calibri" w:hAnsi="Calibri"/>
          <w:color w:val="555555"/>
          <w:sz w:val="21"/>
        </w:rPr>
        <w:t>Art. 69 — Compete aos Presidentes das Comissões Permanentes:</w:t>
      </w:r>
    </w:p>
    <w:p>
      <w:pPr>
        <w:spacing w:before="80" w:after="80"/>
        <w:ind w:left="850"/>
        <w:pBdr>
          <w:left w:val="single" w:sz="12" w:space="8" w:color="2C5F8A"/>
        </w:pBdr>
      </w:pPr>
      <w:r>
        <w:rPr>
          <w:rFonts w:ascii="Calibri" w:hAnsi="Calibri"/>
          <w:color w:val="555555"/>
          <w:sz w:val="21"/>
        </w:rPr>
        <w:t>(...)</w:t>
      </w:r>
    </w:p>
    <w:p>
      <w:pPr>
        <w:spacing w:before="80" w:after="80"/>
        <w:ind w:left="850"/>
        <w:pBdr>
          <w:left w:val="single" w:sz="12" w:space="8" w:color="2C5F8A"/>
        </w:pBdr>
      </w:pPr>
      <w:r>
        <w:rPr>
          <w:rFonts w:ascii="Calibri" w:hAnsi="Calibri"/>
          <w:color w:val="555555"/>
          <w:sz w:val="21"/>
        </w:rPr>
        <w:t>III — receber as matérias destinadas à Comissão e designar-lhes relator ou reserva-se para relatá-las pessoalmente;</w:t>
      </w:r>
    </w:p>
    <w:p>
      <w:pPr>
        <w:spacing w:before="80" w:after="80"/>
        <w:ind w:left="850"/>
        <w:pBdr>
          <w:left w:val="single" w:sz="12" w:space="8" w:color="2C5F8A"/>
        </w:pBdr>
      </w:pPr>
      <w:r>
        <w:rPr>
          <w:rFonts w:ascii="Calibri" w:hAnsi="Calibri"/>
          <w:color w:val="555555"/>
          <w:sz w:val="21"/>
        </w:rPr>
        <w:t>(...)</w:t>
      </w:r>
    </w:p>
    <w:p>
      <w:pPr>
        <w:spacing w:before="80" w:after="80"/>
        <w:ind w:left="850"/>
        <w:pBdr>
          <w:left w:val="single" w:sz="12" w:space="8" w:color="2C5F8A"/>
        </w:pBdr>
      </w:pPr>
      <w:r>
        <w:rPr>
          <w:rFonts w:ascii="Calibri" w:hAnsi="Calibri"/>
          <w:color w:val="555555"/>
          <w:sz w:val="21"/>
        </w:rPr>
        <w:t>VII — avocar o expediente, para emissão de parecer em 48 (quarenta e oito) horas, quando não o tenha feito o relator no prazo.</w:t>
      </w:r>
    </w:p>
    <w:p/>
    <w:p>
      <w:pPr>
        <w:spacing w:before="80" w:after="80"/>
        <w:ind w:left="850"/>
        <w:pBdr>
          <w:left w:val="single" w:sz="12" w:space="8" w:color="2C5F8A"/>
        </w:pBdr>
      </w:pPr>
      <w:r>
        <w:rPr>
          <w:rFonts w:ascii="Calibri" w:hAnsi="Calibri"/>
          <w:color w:val="555555"/>
          <w:sz w:val="21"/>
        </w:rPr>
        <w:t>Art. 70 — Encaminhado qualquer expediente ao Presidente da Comissão Permanente, este designar-lhe-á relator em 48 (quarenta e oito) horas, se não se reservar a emissão do parecer, o qual deverá ser apresentado em 7 (sete) dias.</w:t>
      </w:r>
    </w:p>
    <w:p>
      <w:pPr>
        <w:spacing w:before="240" w:after="120"/>
      </w:pPr>
      <w:r>
        <w:rPr>
          <w:rFonts w:ascii="Calibri" w:hAnsi="Calibri"/>
          <w:b/>
          <w:color w:val="2C5F8A"/>
          <w:sz w:val="24"/>
        </w:rPr>
        <w:t>2.3. Análise: Existe Vedação ao Autor como Relator?</w:t>
      </w:r>
    </w:p>
    <w:p>
      <w:r>
        <w:rPr>
          <w:rFonts w:ascii="Calibri" w:hAnsi="Calibri"/>
        </w:rPr>
        <w:t xml:space="preserve">Da leitura integral do Regimento Interno da Câmara Municipal de Boa Vista (Resolução nº 93/1998 e todas as suas alterações até a Resolução nº 263/2025), </w:t>
      </w:r>
      <w:r>
        <w:rPr>
          <w:rFonts w:ascii="Calibri" w:hAnsi="Calibri"/>
          <w:b/>
        </w:rPr>
        <w:t>NÃO se identifica dispositivo expresso que vede ao autor de uma proposição atuar como seu relator</w:t>
      </w:r>
      <w:r>
        <w:rPr>
          <w:rFonts w:ascii="Calibri" w:hAnsi="Calibri"/>
        </w:rPr>
        <w:t>.</w:t>
      </w:r>
    </w:p>
    <w:p>
      <w:r>
        <w:rPr>
          <w:rFonts w:ascii="Calibri" w:hAnsi="Calibri"/>
        </w:rPr>
        <w:t xml:space="preserve">Diferentemente de outros regimentos internos — como o da Câmara Municipal do Recife, que estabelece expressamente que "Não poderá o autor de proposição ser dela relator, ainda que substituto ou parcial", ou o da Assembleia Legislativa do Rio de Janeiro (ALERJ) — </w:t>
      </w:r>
      <w:r>
        <w:rPr>
          <w:rFonts w:ascii="Calibri" w:hAnsi="Calibri"/>
          <w:b/>
        </w:rPr>
        <w:t>o Regimento Interno da CMBV não contém tal vedação</w:t>
      </w:r>
      <w:r>
        <w:rPr>
          <w:rFonts w:ascii="Calibri" w:hAnsi="Calibri"/>
        </w:rPr>
        <w:t>.</w:t>
      </w:r>
    </w:p>
    <w:p>
      <w:r>
        <w:rPr>
          <w:rFonts w:ascii="Calibri" w:hAnsi="Calibri"/>
        </w:rPr>
        <w:t xml:space="preserve">Ao contrário, o </w:t>
      </w:r>
      <w:r>
        <w:rPr>
          <w:rFonts w:ascii="Calibri" w:hAnsi="Calibri"/>
          <w:b/>
        </w:rPr>
        <w:t>Art. 69, III</w:t>
      </w:r>
      <w:r>
        <w:rPr>
          <w:rFonts w:ascii="Calibri" w:hAnsi="Calibri"/>
        </w:rPr>
        <w:t xml:space="preserve"> confere ao Presidente da Comissão a </w:t>
      </w:r>
      <w:r>
        <w:rPr>
          <w:rFonts w:ascii="Calibri" w:hAnsi="Calibri"/>
          <w:b/>
        </w:rPr>
        <w:t>faculdade expressa</w:t>
      </w:r>
      <w:r>
        <w:rPr>
          <w:rFonts w:ascii="Calibri" w:hAnsi="Calibri"/>
        </w:rPr>
        <w:t xml:space="preserve"> de:</w:t>
      </w:r>
    </w:p>
    <w:p>
      <w:pPr>
        <w:pStyle w:val="ListNumber"/>
      </w:pPr>
      <w:r>
        <w:rPr>
          <w:rFonts w:ascii="Calibri" w:hAnsi="Calibri"/>
          <w:b/>
        </w:rPr>
        <w:t>Designar relator</w:t>
      </w:r>
      <w:r>
        <w:rPr>
          <w:rFonts w:ascii="Calibri" w:hAnsi="Calibri"/>
        </w:rPr>
        <w:t xml:space="preserve"> a outro membro da Comissão; </w:t>
      </w:r>
      <w:r>
        <w:rPr>
          <w:rFonts w:ascii="Calibri" w:hAnsi="Calibri"/>
          <w:i/>
        </w:rPr>
        <w:t>ou</w:t>
      </w:r>
    </w:p>
    <w:p>
      <w:pPr>
        <w:pStyle w:val="ListNumber"/>
      </w:pPr>
      <w:r>
        <w:rPr>
          <w:rFonts w:ascii="Calibri" w:hAnsi="Calibri"/>
          <w:b/>
        </w:rPr>
        <w:t>Reservar-se para relatar a matéria pessoalmente.</w:t>
      </w:r>
    </w:p>
    <w:p>
      <w:r>
        <w:rPr>
          <w:rFonts w:ascii="Calibri" w:hAnsi="Calibri"/>
        </w:rPr>
        <w:t xml:space="preserve">Essa prerrogativa é </w:t>
      </w:r>
      <w:r>
        <w:rPr>
          <w:rFonts w:ascii="Calibri" w:hAnsi="Calibri"/>
          <w:b/>
        </w:rPr>
        <w:t>discricionária</w:t>
      </w:r>
      <w:r>
        <w:rPr>
          <w:rFonts w:ascii="Calibri" w:hAnsi="Calibri"/>
        </w:rPr>
        <w:t xml:space="preserve"> do Presidente e não faz qualquer ressalva quanto à autoria da proposição.</w:t>
      </w:r>
    </w:p>
    <w:p>
      <w:pPr>
        <w:spacing w:before="240" w:after="120"/>
      </w:pPr>
      <w:r>
        <w:rPr>
          <w:rFonts w:ascii="Calibri" w:hAnsi="Calibri"/>
          <w:b/>
          <w:color w:val="2C5F8A"/>
          <w:sz w:val="24"/>
        </w:rPr>
        <w:t>2.4. Deliberação Colegiada como Mecanismo de Controle</w:t>
      </w:r>
    </w:p>
    <w:p>
      <w:r>
        <w:rPr>
          <w:rFonts w:ascii="Calibri" w:hAnsi="Calibri"/>
        </w:rPr>
        <w:t xml:space="preserve">Ainda que o Presidente da Comissão atue como relator da matéria — mesmo sendo de sua autoria —, o Regimento Interno estabelece salvaguardas que preservam a </w:t>
      </w:r>
      <w:r>
        <w:rPr>
          <w:rFonts w:ascii="Calibri" w:hAnsi="Calibri"/>
          <w:b/>
        </w:rPr>
        <w:t>natureza colegiada</w:t>
      </w:r>
      <w:r>
        <w:rPr>
          <w:rFonts w:ascii="Calibri" w:hAnsi="Calibri"/>
        </w:rPr>
        <w:t xml:space="preserve"> da deliberação:</w:t>
      </w:r>
    </w:p>
    <w:p>
      <w:pPr>
        <w:spacing w:before="80" w:after="80"/>
        <w:ind w:left="850"/>
        <w:pBdr>
          <w:left w:val="single" w:sz="12" w:space="8" w:color="2C5F8A"/>
        </w:pBdr>
      </w:pPr>
      <w:r>
        <w:rPr>
          <w:rFonts w:ascii="Calibri" w:hAnsi="Calibri"/>
          <w:color w:val="555555"/>
          <w:sz w:val="21"/>
        </w:rPr>
        <w:t>Art. 73 — As Comissões Permanentes deliberarão, por maioria de votos, sobre o pronunciamento do relator, o qual, se aprovado, prevalecerá como parecer.</w:t>
      </w:r>
    </w:p>
    <w:p>
      <w:pPr>
        <w:spacing w:before="80" w:after="80"/>
        <w:ind w:left="850"/>
        <w:pBdr>
          <w:left w:val="single" w:sz="12" w:space="8" w:color="2C5F8A"/>
        </w:pBdr>
      </w:pPr>
      <w:r>
        <w:rPr>
          <w:rFonts w:ascii="Calibri" w:hAnsi="Calibri"/>
          <w:color w:val="555555"/>
          <w:sz w:val="21"/>
        </w:rPr>
        <w:t>§ 1º — Se forem rejeitadas as conclusões, o parecer consistirá da manifestação em contrário, assinando-o relator como vencido.</w:t>
      </w:r>
    </w:p>
    <w:p>
      <w:pPr>
        <w:spacing w:before="80" w:after="80"/>
        <w:ind w:left="850"/>
        <w:pBdr>
          <w:left w:val="single" w:sz="12" w:space="8" w:color="2C5F8A"/>
        </w:pBdr>
      </w:pPr>
      <w:r>
        <w:rPr>
          <w:rFonts w:ascii="Calibri" w:hAnsi="Calibri"/>
          <w:color w:val="555555"/>
          <w:sz w:val="21"/>
        </w:rPr>
        <w:t>§ 2º — O membro da Comissão que concordar com o relator aporá ao pé do pronunciamento daquele a expressão "pelas conclusões" seguida da sua assinatura.</w:t>
      </w:r>
    </w:p>
    <w:p>
      <w:pPr>
        <w:spacing w:before="80" w:after="80"/>
        <w:ind w:left="850"/>
        <w:pBdr>
          <w:left w:val="single" w:sz="12" w:space="8" w:color="2C5F8A"/>
        </w:pBdr>
      </w:pPr>
      <w:r>
        <w:rPr>
          <w:rFonts w:ascii="Calibri" w:hAnsi="Calibri"/>
          <w:color w:val="555555"/>
          <w:sz w:val="21"/>
        </w:rPr>
        <w:t>§ 3º — A aquiescência às conclusões do relator poderá ser parcial, ou por fundamento diverso, hipótese em que o membro da Comissão que a manifestar usará a expressão "de acordo, com restrições".</w:t>
      </w:r>
    </w:p>
    <w:p>
      <w:pPr>
        <w:spacing w:before="80" w:after="80"/>
        <w:ind w:left="850"/>
        <w:pBdr>
          <w:left w:val="single" w:sz="12" w:space="8" w:color="2C5F8A"/>
        </w:pBdr>
      </w:pPr>
      <w:r>
        <w:rPr>
          <w:rFonts w:ascii="Calibri" w:hAnsi="Calibri"/>
          <w:color w:val="555555"/>
          <w:sz w:val="21"/>
        </w:rPr>
        <w:t>§ 5º — O parecer da Comissão deverá ser assinado por todos os seus membros, sem prejuízo da apresentação do voto vencido em separado.</w:t>
      </w:r>
    </w:p>
    <w:p>
      <w:r>
        <w:rPr>
          <w:rFonts w:ascii="Calibri" w:hAnsi="Calibri"/>
        </w:rPr>
        <w:t>Portanto, mesmo quando o relator é o próprio autor:</w:t>
      </w:r>
    </w:p>
    <w:p>
      <w:pPr>
        <w:pStyle w:val="ListBullet"/>
      </w:pPr>
      <w:r>
        <w:rPr>
          <w:rFonts w:ascii="Calibri" w:hAnsi="Calibri"/>
        </w:rPr>
        <w:t xml:space="preserve">Os </w:t>
      </w:r>
      <w:r>
        <w:rPr>
          <w:rFonts w:ascii="Calibri" w:hAnsi="Calibri"/>
          <w:b/>
        </w:rPr>
        <w:t>demais membros da Comissão</w:t>
      </w:r>
      <w:r>
        <w:rPr>
          <w:rFonts w:ascii="Calibri" w:hAnsi="Calibri"/>
        </w:rPr>
        <w:t xml:space="preserve"> votam sobre o parecer;</w:t>
      </w:r>
    </w:p>
    <w:p>
      <w:pPr>
        <w:pStyle w:val="ListBullet"/>
      </w:pPr>
      <w:r>
        <w:rPr>
          <w:rFonts w:ascii="Calibri" w:hAnsi="Calibri"/>
        </w:rPr>
        <w:t xml:space="preserve">O parecer só prevalece se aprovado por </w:t>
      </w:r>
      <w:r>
        <w:rPr>
          <w:rFonts w:ascii="Calibri" w:hAnsi="Calibri"/>
          <w:b/>
        </w:rPr>
        <w:t>maioria</w:t>
      </w:r>
      <w:r>
        <w:rPr>
          <w:rFonts w:ascii="Calibri" w:hAnsi="Calibri"/>
        </w:rPr>
        <w:t>;</w:t>
      </w:r>
    </w:p>
    <w:p>
      <w:pPr>
        <w:pStyle w:val="ListBullet"/>
      </w:pPr>
      <w:r>
        <w:rPr>
          <w:rFonts w:ascii="Calibri" w:hAnsi="Calibri"/>
        </w:rPr>
        <w:t>Os membros podem se manifestar "de acordo", "com restrições" ou contra;</w:t>
      </w:r>
    </w:p>
    <w:p>
      <w:pPr>
        <w:pStyle w:val="ListBullet"/>
      </w:pPr>
      <w:r>
        <w:rPr>
          <w:rFonts w:ascii="Calibri" w:hAnsi="Calibri"/>
        </w:rPr>
        <w:t xml:space="preserve">O </w:t>
      </w:r>
      <w:r>
        <w:rPr>
          <w:rFonts w:ascii="Calibri" w:hAnsi="Calibri"/>
          <w:b/>
        </w:rPr>
        <w:t>voto vencido</w:t>
      </w:r>
      <w:r>
        <w:rPr>
          <w:rFonts w:ascii="Calibri" w:hAnsi="Calibri"/>
        </w:rPr>
        <w:t xml:space="preserve"> pode ser apresentado em separado;</w:t>
      </w:r>
    </w:p>
    <w:p>
      <w:pPr>
        <w:pStyle w:val="ListBullet"/>
      </w:pPr>
      <w:r>
        <w:rPr>
          <w:rFonts w:ascii="Calibri" w:hAnsi="Calibri"/>
        </w:rPr>
        <w:t xml:space="preserve">O parecer deve ser </w:t>
      </w:r>
      <w:r>
        <w:rPr>
          <w:rFonts w:ascii="Calibri" w:hAnsi="Calibri"/>
          <w:b/>
        </w:rPr>
        <w:t>assinado por todos</w:t>
      </w:r>
      <w:r>
        <w:rPr>
          <w:rFonts w:ascii="Calibri" w:hAnsi="Calibri"/>
        </w:rPr>
        <w:t xml:space="preserve"> os membros.</w:t>
      </w:r>
    </w:p>
    <w:p>
      <w:pPr>
        <w:spacing w:before="320" w:after="1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8"/>
        </w:rPr>
        <w:t>3. CONCLUSÃO SOBRE A RELATORIA</w:t>
      </w:r>
    </w:p>
    <w:p>
      <w:pPr>
        <w:spacing w:before="160" w:after="160"/>
        <w:ind w:left="283" w:right="283"/>
        <w:shd w:fill="E8F4E8"/>
        <w:pBdr>
          <w:top w:val="single" w:sz="4" w:space="4" w:color="1A6B3C"/>
          <w:left w:val="single" w:sz="4" w:space="4" w:color="1A6B3C"/>
          <w:bottom w:val="single" w:sz="4" w:space="4" w:color="1A6B3C"/>
          <w:right w:val="single" w:sz="4" w:space="4" w:color="1A6B3C"/>
        </w:pBdr>
      </w:pPr>
      <w:r>
        <w:rPr>
          <w:rFonts w:ascii="Calibri" w:hAnsi="Calibri"/>
          <w:b/>
          <w:sz w:val="21"/>
        </w:rPr>
        <w:t>É regimentalmente correto</w:t>
      </w:r>
      <w:r>
        <w:rPr>
          <w:rFonts w:ascii="Calibri" w:hAnsi="Calibri"/>
          <w:sz w:val="21"/>
        </w:rPr>
        <w:t xml:space="preserve"> que a Vereadora Carol Dantas, na condição de Presidente da CASP, atue como relatora de PLL de sua autoria.</w:t>
      </w:r>
    </w:p>
    <w:p>
      <w:r>
        <w:rPr>
          <w:rFonts w:ascii="Calibri" w:hAnsi="Calibri"/>
        </w:rPr>
        <w:t>Fundamentação: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fill="1B3A5C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Dispositivo</w:t>
            </w:r>
          </w:p>
        </w:tc>
        <w:tc>
          <w:tcPr>
            <w:tcW w:type="dxa" w:w="4561"/>
            <w:shd w:fill="1B3A5C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Conteúdo</w:t>
            </w:r>
          </w:p>
        </w:tc>
      </w:tr>
      <w:tr>
        <w:tc>
          <w:tcPr>
            <w:tcW w:type="dxa" w:w="4561"/>
          </w:tcPr>
          <w:p>
            <w:r/>
            <w:r>
              <w:rPr>
                <w:rFonts w:ascii="Calibri" w:hAnsi="Calibri"/>
                <w:sz w:val="20"/>
              </w:rPr>
              <w:t>Art. 69, III</w:t>
            </w:r>
          </w:p>
        </w:tc>
        <w:tc>
          <w:tcPr>
            <w:tcW w:type="dxa" w:w="4561"/>
          </w:tcPr>
          <w:p>
            <w:r/>
            <w:r>
              <w:rPr>
                <w:rFonts w:ascii="Calibri" w:hAnsi="Calibri"/>
                <w:sz w:val="20"/>
              </w:rPr>
              <w:t>O Presidente da Comissão pode designar relator ou reservar-se para relatar pessoalmente</w:t>
            </w:r>
          </w:p>
        </w:tc>
      </w:tr>
      <w:tr>
        <w:tc>
          <w:tcPr>
            <w:tcW w:type="dxa" w:w="4561"/>
            <w:shd w:fill="F0F4F8"/>
          </w:tcPr>
          <w:p>
            <w:r/>
            <w:r>
              <w:rPr>
                <w:rFonts w:ascii="Calibri" w:hAnsi="Calibri"/>
                <w:sz w:val="20"/>
              </w:rPr>
              <w:t>Art. 70</w:t>
            </w:r>
          </w:p>
        </w:tc>
        <w:tc>
          <w:tcPr>
            <w:tcW w:type="dxa" w:w="4561"/>
            <w:shd w:fill="F0F4F8"/>
          </w:tcPr>
          <w:p>
            <w:r/>
            <w:r>
              <w:rPr>
                <w:rFonts w:ascii="Calibri" w:hAnsi="Calibri"/>
                <w:sz w:val="20"/>
              </w:rPr>
              <w:t>O Presidente designa relator em 48h "se não se reservar a emissão do parecer"</w:t>
            </w:r>
          </w:p>
        </w:tc>
      </w:tr>
      <w:tr>
        <w:tc>
          <w:tcPr>
            <w:tcW w:type="dxa" w:w="4561"/>
          </w:tcPr>
          <w:p>
            <w:r/>
            <w:r>
              <w:rPr>
                <w:rFonts w:ascii="Calibri" w:hAnsi="Calibri"/>
                <w:sz w:val="20"/>
              </w:rPr>
              <w:t>Art. 73, caput e §§</w:t>
            </w:r>
          </w:p>
        </w:tc>
        <w:tc>
          <w:tcPr>
            <w:tcW w:type="dxa" w:w="4561"/>
          </w:tcPr>
          <w:p>
            <w:r/>
            <w:r>
              <w:rPr>
                <w:rFonts w:ascii="Calibri" w:hAnsi="Calibri"/>
                <w:sz w:val="20"/>
              </w:rPr>
              <w:t>A deliberação é colegiada, por maioria de votos, com assinatura de todos os membros</w:t>
            </w:r>
          </w:p>
        </w:tc>
      </w:tr>
    </w:tbl>
    <w:p/>
    <w:p>
      <w:r>
        <w:rPr>
          <w:rFonts w:ascii="Calibri" w:hAnsi="Calibri"/>
          <w:b/>
        </w:rPr>
        <w:t>Não há, no Regimento Interno da CMBV, vedação expressa</w:t>
      </w:r>
      <w:r>
        <w:rPr>
          <w:rFonts w:ascii="Calibri" w:hAnsi="Calibri"/>
        </w:rPr>
        <w:t xml:space="preserve"> que impeça o autor de uma proposição de ser seu relator, diferentemente do que ocorre em outros parlamentos municipais e estaduais.</w:t>
      </w:r>
    </w:p>
    <w:p>
      <w:pPr>
        <w:spacing w:before="160" w:after="160"/>
        <w:ind w:left="283" w:right="283"/>
        <w:shd w:fill="FFF8E1"/>
        <w:pBdr>
          <w:top w:val="single" w:sz="4" w:space="4" w:color="C49A2B"/>
          <w:left w:val="single" w:sz="4" w:space="4" w:color="C49A2B"/>
          <w:bottom w:val="single" w:sz="4" w:space="4" w:color="C49A2B"/>
          <w:right w:val="single" w:sz="4" w:space="4" w:color="C49A2B"/>
        </w:pBdr>
      </w:pPr>
      <w:r>
        <w:rPr>
          <w:rFonts w:ascii="Calibri" w:hAnsi="Calibri"/>
          <w:b/>
          <w:sz w:val="21"/>
        </w:rPr>
        <w:t>Ressalva importante:</w:t>
      </w:r>
      <w:r>
        <w:rPr>
          <w:rFonts w:ascii="Calibri" w:hAnsi="Calibri"/>
          <w:sz w:val="21"/>
        </w:rPr>
        <w:t xml:space="preserve"> Embora não haja impedimento regimental, é recomendável que a Vereadora, por cautela e transparência, avalie caso a caso a conveniência política de relatar matéria de sua própria autoria, considerando eventuais questionamentos de ordem ética ou de decoro parlamentar que possam ser suscitados por outros parlamentares.</w:t>
      </w:r>
    </w:p>
    <w:p>
      <w:pPr>
        <w:spacing w:before="320" w:after="1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8"/>
        </w:rPr>
        <w:t>4. ATRIBUIÇÕES DA CASP</w:t>
      </w:r>
    </w:p>
    <w:p>
      <w:r>
        <w:rPr>
          <w:rFonts w:ascii="Calibri" w:hAnsi="Calibri"/>
        </w:rPr>
        <w:t xml:space="preserve">A </w:t>
      </w:r>
      <w:r>
        <w:rPr>
          <w:rFonts w:ascii="Calibri" w:hAnsi="Calibri"/>
          <w:b/>
        </w:rPr>
        <w:t>Comissão de Administração, Serviços Públicos e Previdência (CASP)</w:t>
      </w:r>
      <w:r>
        <w:rPr>
          <w:rFonts w:ascii="Calibri" w:hAnsi="Calibri"/>
        </w:rPr>
        <w:t xml:space="preserve"> foi criada pela </w:t>
      </w:r>
      <w:hyperlink r:id="rId11">
        <w:r>
          <w:rPr>
            <w:rStyle w:val="Hyperlink"/>
            <w:color w:val="2C5F8A"/>
            <w:u w:val="single"/>
            <w:sz w:val="22"/>
            <w:rFonts w:ascii="Calibri" w:hAnsi="Calibri"/>
          </w:rPr>
          <w:t xml:space="preserve">Resolução nº 226, de 29 de abril de 2021</w:t>
        </w:r>
      </w:hyperlink>
      <w:r>
        <w:rPr>
          <w:rFonts w:ascii="Calibri" w:hAnsi="Calibri"/>
        </w:rPr>
        <w:t xml:space="preserve">, que acrescentou o </w:t>
      </w:r>
      <w:r>
        <w:rPr>
          <w:rFonts w:ascii="Calibri" w:hAnsi="Calibri"/>
          <w:b/>
        </w:rPr>
        <w:t>inciso IX ao Art. 49</w:t>
      </w:r>
      <w:r>
        <w:rPr>
          <w:rFonts w:ascii="Calibri" w:hAnsi="Calibri"/>
        </w:rPr>
        <w:t xml:space="preserve"> e o </w:t>
      </w:r>
      <w:r>
        <w:rPr>
          <w:rFonts w:ascii="Calibri" w:hAnsi="Calibri"/>
          <w:b/>
        </w:rPr>
        <w:t>Art. 83-B</w:t>
      </w:r>
      <w:r>
        <w:rPr>
          <w:rFonts w:ascii="Calibri" w:hAnsi="Calibri"/>
        </w:rPr>
        <w:t xml:space="preserve"> ao Regimento Interno.</w:t>
      </w:r>
    </w:p>
    <w:p>
      <w:pPr>
        <w:spacing w:before="240" w:after="120"/>
      </w:pPr>
      <w:r>
        <w:rPr>
          <w:rFonts w:ascii="Calibri" w:hAnsi="Calibri"/>
          <w:b/>
          <w:color w:val="2C5F8A"/>
          <w:sz w:val="24"/>
        </w:rPr>
        <w:t>4.1. Competências (Art. 83-B do Regimento Interno)</w:t>
      </w:r>
    </w:p>
    <w:p>
      <w:pPr>
        <w:spacing w:before="80" w:after="80"/>
        <w:ind w:left="850"/>
        <w:pBdr>
          <w:left w:val="single" w:sz="12" w:space="8" w:color="2C5F8A"/>
        </w:pBdr>
      </w:pPr>
      <w:r>
        <w:rPr>
          <w:rFonts w:ascii="Calibri" w:hAnsi="Calibri"/>
          <w:color w:val="555555"/>
          <w:sz w:val="21"/>
        </w:rPr>
        <w:t>Art. 83-B — Compete à Comissão de Administração, Serviços Públicos e Previdência opinar sobre o regime jurídico e estatuto dos servidores municipais, serviços públicos não compreendidos nas atribuições das outras Comissões e direito previdenciário.</w:t>
      </w:r>
    </w:p>
    <w:p>
      <w:pPr>
        <w:spacing w:before="240" w:after="120"/>
      </w:pPr>
      <w:r>
        <w:rPr>
          <w:rFonts w:ascii="Calibri" w:hAnsi="Calibri"/>
          <w:b/>
          <w:color w:val="2C5F8A"/>
          <w:sz w:val="24"/>
        </w:rPr>
        <w:t>4.2. Escopo de Atuação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fill="1B3A5C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Área de Competência</w:t>
            </w:r>
          </w:p>
        </w:tc>
        <w:tc>
          <w:tcPr>
            <w:tcW w:type="dxa" w:w="4561"/>
            <w:shd w:fill="1B3A5C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Exemplos de Matérias</w:t>
            </w:r>
          </w:p>
        </w:tc>
      </w:tr>
      <w:tr>
        <w:tc>
          <w:tcPr>
            <w:tcW w:type="dxa" w:w="4561"/>
          </w:tcPr>
          <w:p>
            <w:r/>
            <w:r>
              <w:rPr>
                <w:rFonts w:ascii="Calibri" w:hAnsi="Calibri"/>
                <w:sz w:val="20"/>
              </w:rPr>
              <w:t>Regime Jurídico dos Servidores</w:t>
            </w:r>
          </w:p>
        </w:tc>
        <w:tc>
          <w:tcPr>
            <w:tcW w:type="dxa" w:w="4561"/>
          </w:tcPr>
          <w:p>
            <w:r/>
            <w:r>
              <w:rPr>
                <w:rFonts w:ascii="Calibri" w:hAnsi="Calibri"/>
                <w:sz w:val="20"/>
              </w:rPr>
              <w:t>Plano de cargos e salários, licenças, estabilidade, aposentadoria, direitos e deveres funcionais</w:t>
            </w:r>
          </w:p>
        </w:tc>
      </w:tr>
      <w:tr>
        <w:tc>
          <w:tcPr>
            <w:tcW w:type="dxa" w:w="4561"/>
            <w:shd w:fill="F0F4F8"/>
          </w:tcPr>
          <w:p>
            <w:r/>
            <w:r>
              <w:rPr>
                <w:rFonts w:ascii="Calibri" w:hAnsi="Calibri"/>
                <w:sz w:val="20"/>
              </w:rPr>
              <w:t>Serviços Públicos (residual)</w:t>
            </w:r>
          </w:p>
        </w:tc>
        <w:tc>
          <w:tcPr>
            <w:tcW w:type="dxa" w:w="4561"/>
            <w:shd w:fill="F0F4F8"/>
          </w:tcPr>
          <w:p>
            <w:r/>
            <w:r>
              <w:rPr>
                <w:rFonts w:ascii="Calibri" w:hAnsi="Calibri"/>
                <w:sz w:val="20"/>
              </w:rPr>
              <w:t>Prestação de serviços públicos municipais não afetos a outras comissões (iluminação, limpeza, coleta etc.)</w:t>
            </w:r>
          </w:p>
        </w:tc>
      </w:tr>
      <w:tr>
        <w:tc>
          <w:tcPr>
            <w:tcW w:type="dxa" w:w="4561"/>
          </w:tcPr>
          <w:p>
            <w:r/>
            <w:r>
              <w:rPr>
                <w:rFonts w:ascii="Calibri" w:hAnsi="Calibri"/>
                <w:sz w:val="20"/>
              </w:rPr>
              <w:t>Direito Previdenciário</w:t>
            </w:r>
          </w:p>
        </w:tc>
        <w:tc>
          <w:tcPr>
            <w:tcW w:type="dxa" w:w="4561"/>
          </w:tcPr>
          <w:p>
            <w:r/>
            <w:r>
              <w:rPr>
                <w:rFonts w:ascii="Calibri" w:hAnsi="Calibri"/>
                <w:sz w:val="20"/>
              </w:rPr>
              <w:t>Regime próprio de previdência (RPPS), contribuições, benefícios previdenciários</w:t>
            </w:r>
          </w:p>
        </w:tc>
      </w:tr>
    </w:tbl>
    <w:p/>
    <w:p>
      <w:pPr>
        <w:spacing w:before="240" w:after="120"/>
      </w:pPr>
      <w:r>
        <w:rPr>
          <w:rFonts w:ascii="Calibri" w:hAnsi="Calibri"/>
          <w:b/>
          <w:color w:val="2C5F8A"/>
          <w:sz w:val="24"/>
        </w:rPr>
        <w:t>4.3. Composição na 14ª Legislatura</w:t>
      </w:r>
    </w:p>
    <w:p>
      <w:r>
        <w:rPr>
          <w:rFonts w:ascii="Calibri" w:hAnsi="Calibri"/>
        </w:rPr>
        <w:t xml:space="preserve">A CASP é composta por membros titulares, conforme Art. 45, § 1º do Regimento Interno, presidida pela </w:t>
      </w:r>
      <w:r>
        <w:rPr>
          <w:rFonts w:ascii="Calibri" w:hAnsi="Calibri"/>
          <w:b/>
        </w:rPr>
        <w:t>Vereadora Carol Dantas</w:t>
      </w:r>
      <w:r>
        <w:rPr>
          <w:rFonts w:ascii="Calibri" w:hAnsi="Calibri"/>
        </w:rPr>
        <w:t xml:space="preserve">. A composição completa pode ser consultada em: </w:t>
      </w:r>
      <w:hyperlink r:id="rId12">
        <w:r>
          <w:rPr>
            <w:rStyle w:val="Hyperlink"/>
            <w:color w:val="2C5F8A"/>
            <w:u w:val="single"/>
            <w:sz w:val="22"/>
            <w:rFonts w:ascii="Calibri" w:hAnsi="Calibri"/>
          </w:rPr>
          <w:t xml:space="preserve">Comissão CASP no SAPL</w:t>
        </w:r>
      </w:hyperlink>
      <w:r>
        <w:rPr>
          <w:rFonts w:ascii="Calibri" w:hAnsi="Calibri"/>
        </w:rPr>
        <w:t>.</w:t>
      </w:r>
    </w:p>
    <w:p>
      <w:pPr>
        <w:spacing w:before="240" w:after="120"/>
      </w:pPr>
      <w:r>
        <w:rPr>
          <w:rFonts w:ascii="Calibri" w:hAnsi="Calibri"/>
          <w:b/>
          <w:color w:val="2C5F8A"/>
          <w:sz w:val="24"/>
        </w:rPr>
        <w:t>4.4. Competências Gerais das Comissões (Art. 46)</w:t>
      </w:r>
    </w:p>
    <w:p>
      <w:r>
        <w:rPr>
          <w:rFonts w:ascii="Calibri" w:hAnsi="Calibri"/>
        </w:rPr>
        <w:t xml:space="preserve">Além das competências específicas, todas as comissões permanentes detêm as competências gerais previstas no </w:t>
      </w:r>
      <w:r>
        <w:rPr>
          <w:rFonts w:ascii="Calibri" w:hAnsi="Calibri"/>
          <w:b/>
        </w:rPr>
        <w:t>Art. 46</w:t>
      </w:r>
      <w:r>
        <w:rPr>
          <w:rFonts w:ascii="Calibri" w:hAnsi="Calibri"/>
        </w:rPr>
        <w:t xml:space="preserve"> do Regimento Interno, incluindo:</w:t>
      </w:r>
    </w:p>
    <w:p>
      <w:pPr>
        <w:pStyle w:val="ListBullet"/>
      </w:pPr>
      <w:r>
        <w:rPr>
          <w:rFonts w:ascii="Calibri" w:hAnsi="Calibri"/>
          <w:sz w:val="22"/>
        </w:rPr>
        <w:t>Emitir pareceres sobre proposições a elas submetidas;</w:t>
      </w:r>
    </w:p>
    <w:p>
      <w:pPr>
        <w:pStyle w:val="ListBullet"/>
      </w:pPr>
      <w:r>
        <w:rPr>
          <w:rFonts w:ascii="Calibri" w:hAnsi="Calibri"/>
          <w:sz w:val="22"/>
        </w:rPr>
        <w:t>Realizar audiências públicas;</w:t>
      </w:r>
    </w:p>
    <w:p>
      <w:pPr>
        <w:pStyle w:val="ListBullet"/>
      </w:pPr>
      <w:r>
        <w:rPr>
          <w:rFonts w:ascii="Calibri" w:hAnsi="Calibri"/>
          <w:sz w:val="22"/>
        </w:rPr>
        <w:t>Convocar Secretários Municipais para prestar esclarecimentos;</w:t>
      </w:r>
    </w:p>
    <w:p>
      <w:pPr>
        <w:pStyle w:val="ListBullet"/>
      </w:pPr>
      <w:r>
        <w:rPr>
          <w:rFonts w:ascii="Calibri" w:hAnsi="Calibri"/>
          <w:sz w:val="22"/>
        </w:rPr>
        <w:t>Receber petições, reclamações ou representações de qualquer pessoa;</w:t>
      </w:r>
    </w:p>
    <w:p>
      <w:pPr>
        <w:pStyle w:val="ListBullet"/>
      </w:pPr>
      <w:r>
        <w:rPr>
          <w:rFonts w:ascii="Calibri" w:hAnsi="Calibri"/>
          <w:sz w:val="22"/>
        </w:rPr>
        <w:t>Solicitar depoimento de qualquer autoridade ou cidadão.</w:t>
      </w:r>
    </w:p>
    <w:p>
      <w:pPr>
        <w:spacing w:before="320" w:after="1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8"/>
        </w:rPr>
        <w:t>5. REFERÊNCIAS NORMATIVAS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fill="1B3A5C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Norma</w:t>
            </w:r>
          </w:p>
        </w:tc>
        <w:tc>
          <w:tcPr>
            <w:tcW w:type="dxa" w:w="3041"/>
            <w:shd w:fill="1B3A5C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Descrição</w:t>
            </w:r>
          </w:p>
        </w:tc>
        <w:tc>
          <w:tcPr>
            <w:tcW w:type="dxa" w:w="3041"/>
            <w:shd w:fill="1B3A5C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Link</w:t>
            </w:r>
          </w:p>
        </w:tc>
      </w:tr>
      <w:tr>
        <w:tc>
          <w:tcPr>
            <w:tcW w:type="dxa" w:w="3041"/>
          </w:tcPr>
          <w:p>
            <w:r/>
            <w:r>
              <w:rPr>
                <w:rFonts w:ascii="Calibri" w:hAnsi="Calibri"/>
                <w:sz w:val="20"/>
              </w:rPr>
              <w:t>Resolução nº 93/1998</w:t>
            </w:r>
          </w:p>
        </w:tc>
        <w:tc>
          <w:tcPr>
            <w:tcW w:type="dxa" w:w="3041"/>
          </w:tcPr>
          <w:p>
            <w:r/>
            <w:r>
              <w:rPr>
                <w:rFonts w:ascii="Calibri" w:hAnsi="Calibri"/>
                <w:sz w:val="20"/>
              </w:rPr>
              <w:t>Regimento Interno da CMBV</w:t>
            </w:r>
          </w:p>
        </w:tc>
        <w:tc>
          <w:tcPr>
            <w:tcW w:type="dxa" w:w="3041"/>
          </w:tcPr>
          <w:p>
            <w:r/>
            <w:hyperlink r:id="rId9">
              <w:r>
                <w:rPr>
                  <w:rStyle w:val="Hyperlink"/>
                  <w:color w:val="2C5F8A"/>
                  <w:u w:val="single"/>
                  <w:sz w:val="22"/>
                  <w:rFonts w:ascii="Calibri" w:hAnsi="Calibri"/>
                </w:rPr>
                <w:t xml:space="preserve">PDF no SAPL</w:t>
              </w:r>
            </w:hyperlink>
          </w:p>
        </w:tc>
      </w:tr>
      <w:tr>
        <w:tc>
          <w:tcPr>
            <w:tcW w:type="dxa" w:w="3041"/>
            <w:shd w:fill="F0F4F8"/>
          </w:tcPr>
          <w:p>
            <w:r/>
            <w:r>
              <w:rPr>
                <w:rFonts w:ascii="Calibri" w:hAnsi="Calibri"/>
                <w:sz w:val="20"/>
              </w:rPr>
              <w:t>Resolução nº 137/2009</w:t>
            </w:r>
          </w:p>
        </w:tc>
        <w:tc>
          <w:tcPr>
            <w:tcW w:type="dxa" w:w="3041"/>
            <w:shd w:fill="F0F4F8"/>
          </w:tcPr>
          <w:p>
            <w:r/>
            <w:r>
              <w:rPr>
                <w:rFonts w:ascii="Calibri" w:hAnsi="Calibri"/>
                <w:sz w:val="20"/>
              </w:rPr>
              <w:t>Alteração do RI — comissões</w:t>
            </w:r>
          </w:p>
        </w:tc>
        <w:tc>
          <w:tcPr>
            <w:tcW w:type="dxa" w:w="3041"/>
            <w:shd w:fill="F0F4F8"/>
          </w:tcPr>
          <w:p>
            <w:r/>
            <w:hyperlink r:id="rId10">
              <w:r>
                <w:rPr>
                  <w:rStyle w:val="Hyperlink"/>
                  <w:color w:val="2C5F8A"/>
                  <w:u w:val="single"/>
                  <w:sz w:val="22"/>
                  <w:rFonts w:ascii="Calibri" w:hAnsi="Calibri"/>
                </w:rPr>
                <w:t xml:space="preserve">Página no SAPL</w:t>
              </w:r>
            </w:hyperlink>
          </w:p>
        </w:tc>
      </w:tr>
      <w:tr>
        <w:tc>
          <w:tcPr>
            <w:tcW w:type="dxa" w:w="3041"/>
          </w:tcPr>
          <w:p>
            <w:r/>
            <w:r>
              <w:rPr>
                <w:rFonts w:ascii="Calibri" w:hAnsi="Calibri"/>
                <w:sz w:val="20"/>
              </w:rPr>
              <w:t>Resolução nº 226/2021</w:t>
            </w:r>
          </w:p>
        </w:tc>
        <w:tc>
          <w:tcPr>
            <w:tcW w:type="dxa" w:w="3041"/>
          </w:tcPr>
          <w:p>
            <w:r/>
            <w:r>
              <w:rPr>
                <w:rFonts w:ascii="Calibri" w:hAnsi="Calibri"/>
                <w:sz w:val="20"/>
              </w:rPr>
              <w:t>Criação da CASP e reestruturação</w:t>
            </w:r>
          </w:p>
        </w:tc>
        <w:tc>
          <w:tcPr>
            <w:tcW w:type="dxa" w:w="3041"/>
          </w:tcPr>
          <w:p>
            <w:r/>
            <w:hyperlink r:id="rId11">
              <w:r>
                <w:rPr>
                  <w:rStyle w:val="Hyperlink"/>
                  <w:color w:val="2C5F8A"/>
                  <w:u w:val="single"/>
                  <w:sz w:val="22"/>
                  <w:rFonts w:ascii="Calibri" w:hAnsi="Calibri"/>
                </w:rPr>
                <w:t xml:space="preserve">PDF no SAPL</w:t>
              </w:r>
            </w:hyperlink>
          </w:p>
        </w:tc>
      </w:tr>
      <w:tr>
        <w:tc>
          <w:tcPr>
            <w:tcW w:type="dxa" w:w="3041"/>
            <w:shd w:fill="F0F4F8"/>
          </w:tcPr>
          <w:p>
            <w:r/>
            <w:r>
              <w:rPr>
                <w:rFonts w:ascii="Calibri" w:hAnsi="Calibri"/>
                <w:sz w:val="20"/>
              </w:rPr>
              <w:t>Resolução nº 252/2023</w:t>
            </w:r>
          </w:p>
        </w:tc>
        <w:tc>
          <w:tcPr>
            <w:tcW w:type="dxa" w:w="3041"/>
            <w:shd w:fill="F0F4F8"/>
          </w:tcPr>
          <w:p>
            <w:r/>
            <w:r>
              <w:rPr>
                <w:rFonts w:ascii="Calibri" w:hAnsi="Calibri"/>
                <w:sz w:val="20"/>
              </w:rPr>
              <w:t>Alteração do RI</w:t>
            </w:r>
          </w:p>
        </w:tc>
        <w:tc>
          <w:tcPr>
            <w:tcW w:type="dxa" w:w="3041"/>
            <w:shd w:fill="F0F4F8"/>
          </w:tcPr>
          <w:p>
            <w:r/>
            <w:hyperlink r:id="rId13">
              <w:r>
                <w:rPr>
                  <w:rStyle w:val="Hyperlink"/>
                  <w:color w:val="2C5F8A"/>
                  <w:u w:val="single"/>
                  <w:sz w:val="22"/>
                  <w:rFonts w:ascii="Calibri" w:hAnsi="Calibri"/>
                </w:rPr>
                <w:t xml:space="preserve">PDF no SAPL</w:t>
              </w:r>
            </w:hyperlink>
          </w:p>
        </w:tc>
      </w:tr>
      <w:tr>
        <w:tc>
          <w:tcPr>
            <w:tcW w:type="dxa" w:w="3041"/>
          </w:tcPr>
          <w:p>
            <w:r/>
            <w:r>
              <w:rPr>
                <w:rFonts w:ascii="Calibri" w:hAnsi="Calibri"/>
                <w:sz w:val="20"/>
              </w:rPr>
              <w:t>Resolução nº 262/2025</w:t>
            </w:r>
          </w:p>
        </w:tc>
        <w:tc>
          <w:tcPr>
            <w:tcW w:type="dxa" w:w="3041"/>
          </w:tcPr>
          <w:p>
            <w:r/>
            <w:r>
              <w:rPr>
                <w:rFonts w:ascii="Calibri" w:hAnsi="Calibri"/>
                <w:sz w:val="20"/>
              </w:rPr>
              <w:t>Participação remota</w:t>
            </w:r>
          </w:p>
        </w:tc>
        <w:tc>
          <w:tcPr>
            <w:tcW w:type="dxa" w:w="3041"/>
          </w:tcPr>
          <w:p>
            <w:r/>
            <w:hyperlink r:id="rId14">
              <w:r>
                <w:rPr>
                  <w:rStyle w:val="Hyperlink"/>
                  <w:color w:val="2C5F8A"/>
                  <w:u w:val="single"/>
                  <w:sz w:val="22"/>
                  <w:rFonts w:ascii="Calibri" w:hAnsi="Calibri"/>
                </w:rPr>
                <w:t xml:space="preserve">PDF no SAPL</w:t>
              </w:r>
            </w:hyperlink>
          </w:p>
        </w:tc>
      </w:tr>
    </w:tbl>
    <w:p/>
    <w:p>
      <w:pPr>
        <w:jc w:val="center"/>
      </w:pPr>
      <w:r>
        <w:rPr>
          <w:rFonts w:ascii="Calibri" w:hAnsi="Calibri"/>
          <w:color w:val="555555"/>
        </w:rPr>
        <w:t>__________________________________________________</w:t>
      </w:r>
    </w:p>
    <w:p>
      <w:pPr>
        <w:jc w:val="center"/>
      </w:pPr>
      <w:r>
        <w:rPr>
          <w:rFonts w:ascii="Calibri" w:hAnsi="Calibri"/>
          <w:i/>
          <w:color w:val="555555"/>
          <w:sz w:val="20"/>
        </w:rPr>
        <w:t>Assessoria Parlamentar e Legislativa</w:t>
      </w:r>
    </w:p>
    <w:p>
      <w:pPr>
        <w:jc w:val="center"/>
      </w:pPr>
      <w:r>
        <w:rPr>
          <w:rFonts w:ascii="Calibri" w:hAnsi="Calibri"/>
          <w:i/>
          <w:color w:val="555555"/>
          <w:sz w:val="20"/>
        </w:rPr>
        <w:t>Gabinete da Vereadora Carol Dantas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://sapl.boavista.rr.leg.br/media/sapl/public/normajuridica/1998/3144/resolucao_no_93_de_16_de_dezembro_de_1998.pdf" TargetMode="External"/><Relationship Id="rId10" Type="http://schemas.openxmlformats.org/officeDocument/2006/relationships/hyperlink" Target="https://sapl.boavista.rr.leg.br/norma/3144" TargetMode="External"/><Relationship Id="rId11" Type="http://schemas.openxmlformats.org/officeDocument/2006/relationships/hyperlink" Target="http://sapl.boavista.rr.leg.br/media/sapl/public/normajuridica/2021/3431/resolucao_226-2021-_dom_5370.pdf" TargetMode="External"/><Relationship Id="rId12" Type="http://schemas.openxmlformats.org/officeDocument/2006/relationships/hyperlink" Target="https://sapl.boavista.rr.leg.br/comissao/12" TargetMode="External"/><Relationship Id="rId13" Type="http://schemas.openxmlformats.org/officeDocument/2006/relationships/hyperlink" Target="http://sapl.boavista.rr.leg.br/media/sapl/public/normajuridica/2023/4090/res-252-2023.pdf" TargetMode="External"/><Relationship Id="rId14" Type="http://schemas.openxmlformats.org/officeDocument/2006/relationships/hyperlink" Target="http://sapl.boavista.rr.leg.br/media/sapl/public/normajuridica/2025/5089/res_262-2025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