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B538EE" w14:textId="77777777" w:rsidR="00ED0863" w:rsidRPr="00006DE5" w:rsidRDefault="00ED0863" w:rsidP="00D4723B">
      <w:pPr>
        <w:jc w:val="center"/>
        <w:rPr>
          <w:rFonts w:eastAsia="Times New Roman" w:cs="Times New Roman"/>
          <w:b/>
          <w:sz w:val="32"/>
          <w:szCs w:val="32"/>
        </w:rPr>
      </w:pPr>
      <w:r w:rsidRPr="00006DE5">
        <w:rPr>
          <w:rFonts w:eastAsia="Times New Roman" w:cs="Times New Roman"/>
          <w:b/>
          <w:sz w:val="32"/>
          <w:szCs w:val="32"/>
        </w:rPr>
        <w:t>ОТЧЕТ</w:t>
      </w:r>
    </w:p>
    <w:p w14:paraId="3C55F075" w14:textId="5374A499" w:rsidR="00ED0863" w:rsidRPr="00006DE5" w:rsidRDefault="00ED0863" w:rsidP="00D4723B">
      <w:pPr>
        <w:jc w:val="center"/>
        <w:rPr>
          <w:rFonts w:eastAsia="Times New Roman" w:cs="Times New Roman"/>
          <w:b/>
          <w:sz w:val="32"/>
          <w:szCs w:val="32"/>
        </w:rPr>
      </w:pPr>
      <w:r w:rsidRPr="00006DE5">
        <w:rPr>
          <w:rFonts w:eastAsia="Times New Roman" w:cs="Times New Roman"/>
          <w:b/>
          <w:sz w:val="32"/>
          <w:szCs w:val="32"/>
        </w:rPr>
        <w:t>о выполнении домашнего задания №2</w:t>
      </w:r>
      <w:r w:rsidR="00CE0442" w:rsidRPr="00006DE5">
        <w:rPr>
          <w:rFonts w:eastAsia="Times New Roman" w:cs="Times New Roman"/>
          <w:b/>
          <w:sz w:val="32"/>
          <w:szCs w:val="32"/>
        </w:rPr>
      </w:r>
      <w:r w:rsidRPr="00006DE5">
        <w:rPr>
          <w:rFonts w:eastAsia="Times New Roman" w:cs="Times New Roman"/>
          <w:b/>
          <w:sz w:val="32"/>
          <w:szCs w:val="32"/>
        </w:rPr>
      </w:r>
      <w:r w:rsidR="00CE0442" w:rsidRPr="00006DE5">
        <w:rPr>
          <w:rFonts w:eastAsia="Times New Roman" w:cs="Times New Roman"/>
          <w:b/>
          <w:sz w:val="32"/>
          <w:szCs w:val="32"/>
        </w:rPr>
      </w:r>
      <w:r w:rsidRPr="00006DE5">
        <w:rPr>
          <w:rFonts w:eastAsia="Times New Roman" w:cs="Times New Roman"/>
          <w:b/>
          <w:sz w:val="32"/>
          <w:szCs w:val="32"/>
        </w:rPr>
      </w:r>
      <w:r w:rsidR="00CE0442" w:rsidRPr="00006DE5">
        <w:rPr>
          <w:rFonts w:eastAsia="Times New Roman" w:cs="Times New Roman"/>
          <w:b/>
          <w:sz w:val="32"/>
          <w:szCs w:val="32"/>
        </w:rPr>
      </w:r>
      <w:r w:rsidRPr="00006DE5">
        <w:rPr>
          <w:rFonts w:eastAsia="Times New Roman" w:cs="Times New Roman"/>
          <w:b/>
          <w:sz w:val="32"/>
          <w:szCs w:val="32"/>
        </w:rPr>
      </w:r>
      <w:r w:rsidR="00CE0442" w:rsidRPr="00006DE5">
        <w:rPr>
          <w:rFonts w:eastAsia="Times New Roman" w:cs="Times New Roman"/>
          <w:b/>
          <w:sz w:val="32"/>
          <w:szCs w:val="32"/>
        </w:rPr>
      </w:r>
      <w:r w:rsidRPr="00006DE5">
        <w:rPr>
          <w:rFonts w:eastAsia="Times New Roman" w:cs="Times New Roman"/>
          <w:b/>
          <w:sz w:val="32"/>
          <w:szCs w:val="32"/>
        </w:rPr>
      </w:r>
    </w:p>
    <w:p w14:paraId="47F684DB" w14:textId="7777777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</w:p>
    <w:p w14:paraId="5753A2EB" w14:textId="7777777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</w:p>
    <w:p w14:paraId="3E9DF7A6" w14:textId="7777777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</w:p>
    <w:p w14:paraId="4D3272D2" w14:textId="3348500E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Дисциплина «Оптимизация веб-приложений»</w:t>
      </w:r>
      <w:r w:rsidR="00CE0442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</w:p>
    <w:p w14:paraId="236BC220" w14:textId="49CE9186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Тема: «Анализ конкурентов: классификатор сайтов, матрица позиционирования, SWOT-анализ»</w:t>
      </w:r>
      <w:r w:rsidR="00CE0442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  <w:lang w:val="en-US"/>
        </w:rPr>
      </w:r>
      <w:r w:rsidR="001C495E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</w:p>
    <w:p w14:paraId="78030550" w14:textId="532B9A5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Специальность: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09.02.07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Информационные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системы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и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программирование</w:t>
      </w:r>
    </w:p>
    <w:p w14:paraId="26EFB70A" w14:textId="11FB809C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Квалификация: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Разработчик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веб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и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мультимедийных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приложений</w:t>
      </w:r>
    </w:p>
    <w:p w14:paraId="554DC08A" w14:textId="77777777" w:rsidR="00ED0863" w:rsidRPr="00006DE5" w:rsidRDefault="00ED0863" w:rsidP="00D4723B">
      <w:pPr>
        <w:jc w:val="center"/>
        <w:rPr>
          <w:rFonts w:eastAsia="Times New Roman" w:cs="Times New Roman"/>
          <w:szCs w:val="28"/>
        </w:rPr>
      </w:pPr>
    </w:p>
    <w:p w14:paraId="22E05A08" w14:textId="77777777" w:rsidR="00ED0863" w:rsidRPr="00006DE5" w:rsidRDefault="00ED0863" w:rsidP="00D4723B">
      <w:pPr>
        <w:jc w:val="center"/>
        <w:rPr>
          <w:rFonts w:eastAsia="Times New Roman" w:cs="Times New Roman"/>
          <w:szCs w:val="28"/>
        </w:rPr>
      </w:pPr>
    </w:p>
    <w:p w14:paraId="13EAADF7" w14:textId="77777777" w:rsidR="00ED0863" w:rsidRPr="00006DE5" w:rsidRDefault="00ED0863" w:rsidP="00D4723B">
      <w:pPr>
        <w:jc w:val="center"/>
        <w:rPr>
          <w:rFonts w:eastAsia="Times New Roman" w:cs="Times New Roman"/>
          <w:szCs w:val="28"/>
        </w:rPr>
      </w:pPr>
    </w:p>
    <w:p w14:paraId="2D209407" w14:textId="44E93680" w:rsidR="00ED0863" w:rsidRPr="005D6A41" w:rsidRDefault="00ED0863" w:rsidP="00D4723B">
      <w:pPr>
        <w:rPr>
          <w:rFonts w:eastAsia="Times New Roman" w:cs="Times New Roman"/>
          <w:color w:val="EE0000"/>
          <w:szCs w:val="28"/>
        </w:rPr>
      </w:pPr>
      <w:r w:rsidRPr="00006DE5">
        <w:rPr>
          <w:rFonts w:eastAsia="Times New Roman" w:cs="Times New Roman"/>
          <w:szCs w:val="28"/>
        </w:rPr>
        <w:t>Выполнил: Чеголин Алексей Михайлович</w:t>
      </w:r>
      <w:r w:rsidR="00CE0442" w:rsidRPr="00006DE5">
        <w:rPr>
          <w:rFonts w:eastAsia="Times New Roman" w:cs="Times New Roman"/>
          <w:szCs w:val="28"/>
        </w:rPr>
      </w:r>
      <w:r w:rsidRPr="005D6A41">
        <w:rPr>
          <w:rFonts w:eastAsia="Times New Roman" w:cs="Times New Roman"/>
          <w:color w:val="EE0000"/>
          <w:szCs w:val="28"/>
        </w:rPr>
      </w:r>
      <w:r w:rsidR="00CE0442" w:rsidRPr="005D6A41">
        <w:rPr>
          <w:rFonts w:eastAsia="Times New Roman" w:cs="Times New Roman"/>
          <w:color w:val="EE0000"/>
          <w:szCs w:val="28"/>
        </w:rPr>
      </w:r>
      <w:r w:rsidRPr="005D6A41">
        <w:rPr>
          <w:rFonts w:eastAsia="Times New Roman" w:cs="Times New Roman"/>
          <w:color w:val="EE0000"/>
          <w:szCs w:val="28"/>
        </w:rPr>
      </w:r>
    </w:p>
    <w:p w14:paraId="55DBAC54" w14:textId="7D9A6153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Студент группы: 4ИСИП-923</w:t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="005D6A41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Pr="005D6A41">
        <w:rPr>
          <w:rFonts w:eastAsia="Times New Roman" w:cs="Times New Roman"/>
          <w:color w:val="EE0000"/>
          <w:szCs w:val="28"/>
          <w:lang w:val="en-US"/>
        </w:rPr>
      </w:r>
      <w:r w:rsidRPr="00006DE5">
        <w:rPr>
          <w:rFonts w:eastAsia="Times New Roman" w:cs="Times New Roman"/>
          <w:szCs w:val="28"/>
        </w:rPr>
      </w:r>
    </w:p>
    <w:p w14:paraId="676EFFE9" w14:textId="77777777" w:rsidR="00ED0863" w:rsidRPr="00006DE5" w:rsidRDefault="00ED0863" w:rsidP="00D4723B">
      <w:pPr>
        <w:rPr>
          <w:rFonts w:eastAsia="Times New Roman" w:cs="Times New Roman"/>
          <w:szCs w:val="28"/>
        </w:rPr>
      </w:pPr>
    </w:p>
    <w:p w14:paraId="285C6EFA" w14:textId="77777777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Проверил:</w:t>
      </w:r>
    </w:p>
    <w:p w14:paraId="7D1A44C8" w14:textId="18D4169F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Преподаватель: Рыбаков А.С.</w:t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</w:p>
    <w:p w14:paraId="73CDB64C" w14:textId="67ACA0EA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Дата: «03» сентября 2026 г.</w:t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D4723B"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</w:p>
    <w:p w14:paraId="35D77560" w14:textId="5639731C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Оценка:</w:t>
      </w:r>
      <w:r w:rsidR="00CE0442" w:rsidRPr="00006DE5">
        <w:rPr>
          <w:rFonts w:eastAsia="Times New Roman" w:cs="Times New Roman"/>
          <w:szCs w:val="28"/>
        </w:rPr>
        <w:t xml:space="preserve"> </w:t>
      </w:r>
      <w:r w:rsidRPr="00006DE5">
        <w:rPr>
          <w:rFonts w:eastAsia="Times New Roman" w:cs="Times New Roman"/>
          <w:szCs w:val="28"/>
        </w:rPr>
        <w:t>________________</w:t>
      </w:r>
    </w:p>
    <w:p w14:paraId="25BEAFC7" w14:textId="77777777" w:rsidR="00D92C15" w:rsidRPr="00006DE5" w:rsidRDefault="00D92C15" w:rsidP="00D4723B">
      <w:pPr>
        <w:jc w:val="left"/>
      </w:pPr>
      <w:r w:rsidRPr="00006DE5">
        <w:br w:type="page"/>
      </w:r>
    </w:p>
    <w:p>
      <w:r>
        <w:rPr>
          <w:rFonts w:ascii="Times New Roman" w:hAnsi="Times New Roman" w:cs="Times New Roman"/>
          <w:b/>
          <w:i w:val="0"/>
          <w:sz w:val="24"/>
        </w:rPr>
        <w:t>Теоретическая часть: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Классификатор типов сайтов — условное разделение веб-ресурсов по решаемым задачам: интернет-магазины (продажа товаров и услуг онлайн), корпоративные сайты (представление компании, имидж, информация), информационные порталы и СМИ (публикация контента, монетизация трафиком), веб-сервисы и платформы (SaaS, классифайды, двусторонние рынки), поисковые системы и интернет-порталы (поиск информации и экосистема сервисов).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Матрица позиционирования — инструмент визуализации положения продукта или сайта на рынке относительно конкурентов по двум осям (например, цена и качество/сервис). Квадранты матрицы: лидеры рынка (высокое качество и цена), «вызывающие лидеры» (высокое качество при низкой цене), нишевые игроки (низкая цена в своём сегменте) и аутсайдеры (высокая цена при низком качестве).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SWOT-анализ — метод стратегического анализа: сильные (Strengths) и слабые (Weaknesses) стороны относятся к внутренним факторам, возможности (Opportunities) и угрозы (Threats) — к внешним. На завершающем этапе факторы сопоставляются попарно (S+O, W+O, S+T, W+T), и на основе связок формируются приоритетные решения.</w:t>
      </w:r>
    </w:p>
    <w:p>
      <w:r>
        <w:rPr>
          <w:rFonts w:ascii="Times New Roman" w:hAnsi="Times New Roman" w:cs="Times New Roman"/>
          <w:b/>
          <w:i w:val="0"/>
          <w:sz w:val="24"/>
        </w:rPr>
        <w:t>Ход работы: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Домашнее задание «Анализ конкурентов» выполнено по 7 пунктам задания. Использован типовой классификатор из 5 типов сайтов; по каждому типу найдено по 5 примеров без популярных социальных сетей (по условию PS: без FB, VK, YouTube, «Одноклассников»). Для каждого сайта дана характеристика типа, оценено удобство использования, определены целевая аудитория и цели сайта; составлена матрица позиционирования и проведён SWOT-анализ на примере интернет-магазина Ozon.</w:t>
      </w:r>
    </w:p>
    <w:p>
      <w:pPr/>
      <w:r>
        <w:rPr>
          <w:rFonts w:ascii="Times New Roman" w:hAnsi="Times New Roman"/>
          <w:b/>
          <w:sz w:val="26"/>
        </w:rPr>
        <w:t>Задание 1. Пять примеров на каждый тип сайта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928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3298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Тип сайта</w:t>
            </w:r>
          </w:p>
        </w:tc>
        <w:tc>
          <w:tcPr>
            <w:tcW w:type="dxa" w:w="5412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Примеры</w:t>
            </w:r>
          </w:p>
        </w:tc>
      </w:tr>
      <w:tr>
        <w:trPr>
          <w:cantSplit/>
        </w:trPr>
        <w:tc>
          <w:tcPr>
            <w:tcW w:type="dxa" w:w="92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Интернет-магазин</w:t>
            </w:r>
            <w:r>
              <w:rPr>
                <w:sz w:val="20"/>
              </w:rPr>
              <w:t xml:space="preserve"> (e-commerce)</w:t>
            </w:r>
          </w:p>
        </w:tc>
        <w:tc>
          <w:tcPr>
            <w:tcW w:type="dxa" w:w="5412"/>
            <w:vAlign w:val="center"/>
          </w:tcPr>
          <w:p>
            <w:pPr>
              <w:spacing w:after="40" w:before="20" w:line="240" w:lineRule="auto"/>
            </w:pPr>
            <w:hyperlink r:id="rId9">
              <w:r>
                <w:rPr>
                  <w:color w:val="0563C1"/>
                  <w:u w:val="single"/>
                </w:rPr>
                <w:t xml:space="preserve">ozon.ru</w:t>
              </w:r>
            </w:hyperlink>
            <w:r>
              <w:rPr>
                <w:sz w:val="20"/>
              </w:rPr>
              <w:t xml:space="preserve">, </w:t>
            </w:r>
            <w:hyperlink r:id="rId10">
              <w:r>
                <w:rPr>
                  <w:color w:val="0563C1"/>
                  <w:u w:val="single"/>
                </w:rPr>
                <w:t xml:space="preserve">wildberries.ru</w:t>
              </w:r>
            </w:hyperlink>
            <w:r>
              <w:rPr>
                <w:sz w:val="20"/>
              </w:rPr>
              <w:t xml:space="preserve">, </w:t>
            </w:r>
            <w:hyperlink r:id="rId11">
              <w:r>
                <w:rPr>
                  <w:color w:val="0563C1"/>
                  <w:u w:val="single"/>
                </w:rPr>
                <w:t xml:space="preserve">dns-shop.ru</w:t>
              </w:r>
            </w:hyperlink>
            <w:r>
              <w:rPr>
                <w:sz w:val="20"/>
              </w:rPr>
              <w:t xml:space="preserve">, </w:t>
            </w:r>
            <w:hyperlink r:id="rId12">
              <w:r>
                <w:rPr>
                  <w:color w:val="0563C1"/>
                  <w:u w:val="single"/>
                </w:rPr>
                <w:t xml:space="preserve">citilink.ru</w:t>
              </w:r>
            </w:hyperlink>
            <w:r>
              <w:rPr>
                <w:sz w:val="20"/>
              </w:rPr>
              <w:t xml:space="preserve">, </w:t>
            </w:r>
            <w:hyperlink r:id="rId13">
              <w:r>
                <w:rPr>
                  <w:color w:val="0563C1"/>
                  <w:u w:val="single"/>
                </w:rPr>
                <w:t xml:space="preserve">leroymerlin.ru</w:t>
              </w:r>
            </w:hyperlink>
          </w:p>
        </w:tc>
      </w:tr>
      <w:tr>
        <w:trPr>
          <w:cantSplit/>
        </w:trPr>
        <w:tc>
          <w:tcPr>
            <w:tcW w:type="dxa" w:w="92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Корпоративный сайт</w:t>
            </w:r>
          </w:p>
        </w:tc>
        <w:tc>
          <w:tcPr>
            <w:tcW w:type="dxa" w:w="5412"/>
            <w:vAlign w:val="center"/>
          </w:tcPr>
          <w:p>
            <w:pPr>
              <w:spacing w:after="40" w:before="20" w:line="240" w:lineRule="auto"/>
            </w:pPr>
            <w:hyperlink r:id="rId14">
              <w:r>
                <w:rPr>
                  <w:color w:val="0563C1"/>
                  <w:u w:val="single"/>
                </w:rPr>
                <w:t xml:space="preserve">sberbank.ru</w:t>
              </w:r>
            </w:hyperlink>
            <w:r>
              <w:rPr>
                <w:sz w:val="20"/>
              </w:rPr>
              <w:t xml:space="preserve">, </w:t>
            </w:r>
            <w:hyperlink r:id="rId15">
              <w:r>
                <w:rPr>
                  <w:color w:val="0563C1"/>
                  <w:u w:val="single"/>
                </w:rPr>
                <w:t xml:space="preserve">tbank.ru</w:t>
              </w:r>
            </w:hyperlink>
            <w:r>
              <w:rPr>
                <w:sz w:val="20"/>
              </w:rPr>
              <w:t xml:space="preserve">, </w:t>
            </w:r>
            <w:hyperlink r:id="rId16">
              <w:r>
                <w:rPr>
                  <w:color w:val="0563C1"/>
                  <w:u w:val="single"/>
                </w:rPr>
                <w:t xml:space="preserve">rzd.ru</w:t>
              </w:r>
            </w:hyperlink>
            <w:r>
              <w:rPr>
                <w:sz w:val="20"/>
              </w:rPr>
              <w:t xml:space="preserve">, </w:t>
            </w:r>
            <w:hyperlink r:id="rId17">
              <w:r>
                <w:rPr>
                  <w:color w:val="0563C1"/>
                  <w:u w:val="single"/>
                </w:rPr>
                <w:t xml:space="preserve">aeroflot.ru</w:t>
              </w:r>
            </w:hyperlink>
            <w:r>
              <w:rPr>
                <w:sz w:val="20"/>
              </w:rPr>
              <w:t xml:space="preserve">, </w:t>
            </w:r>
            <w:hyperlink r:id="rId18">
              <w:r>
                <w:rPr>
                  <w:color w:val="0563C1"/>
                  <w:u w:val="single"/>
                </w:rPr>
                <w:t xml:space="preserve">gazprom.ru</w:t>
              </w:r>
            </w:hyperlink>
          </w:p>
        </w:tc>
      </w:tr>
      <w:tr>
        <w:trPr>
          <w:cantSplit/>
        </w:trPr>
        <w:tc>
          <w:tcPr>
            <w:tcW w:type="dxa" w:w="92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Информационный портал / СМИ</w:t>
            </w:r>
          </w:p>
        </w:tc>
        <w:tc>
          <w:tcPr>
            <w:tcW w:type="dxa" w:w="5412"/>
            <w:vAlign w:val="center"/>
          </w:tcPr>
          <w:p>
            <w:pPr>
              <w:spacing w:after="40" w:before="20" w:line="240" w:lineRule="auto"/>
            </w:pPr>
            <w:hyperlink r:id="rId19">
              <w:r>
                <w:rPr>
                  <w:color w:val="0563C1"/>
                  <w:u w:val="single"/>
                </w:rPr>
                <w:t xml:space="preserve">habr.com</w:t>
              </w:r>
            </w:hyperlink>
            <w:r>
              <w:rPr>
                <w:sz w:val="20"/>
              </w:rPr>
              <w:t xml:space="preserve">, </w:t>
            </w:r>
            <w:hyperlink r:id="rId20">
              <w:r>
                <w:rPr>
                  <w:color w:val="0563C1"/>
                  <w:u w:val="single"/>
                </w:rPr>
                <w:t xml:space="preserve">lenta.ru</w:t>
              </w:r>
            </w:hyperlink>
            <w:r>
              <w:rPr>
                <w:sz w:val="20"/>
              </w:rPr>
              <w:t xml:space="preserve">, </w:t>
            </w:r>
            <w:hyperlink r:id="rId21">
              <w:r>
                <w:rPr>
                  <w:color w:val="0563C1"/>
                  <w:u w:val="single"/>
                </w:rPr>
                <w:t xml:space="preserve">rbc.ru</w:t>
              </w:r>
            </w:hyperlink>
            <w:r>
              <w:rPr>
                <w:sz w:val="20"/>
              </w:rPr>
              <w:t xml:space="preserve">, </w:t>
            </w:r>
            <w:hyperlink r:id="rId22">
              <w:r>
                <w:rPr>
                  <w:color w:val="0563C1"/>
                  <w:u w:val="single"/>
                </w:rPr>
                <w:t xml:space="preserve">ria.ru</w:t>
              </w:r>
            </w:hyperlink>
            <w:r>
              <w:rPr>
                <w:sz w:val="20"/>
              </w:rPr>
              <w:t xml:space="preserve">, </w:t>
            </w:r>
            <w:hyperlink r:id="rId23">
              <w:r>
                <w:rPr>
                  <w:color w:val="0563C1"/>
                  <w:u w:val="single"/>
                </w:rPr>
                <w:t xml:space="preserve">kommersant.ru</w:t>
              </w:r>
            </w:hyperlink>
          </w:p>
        </w:tc>
      </w:tr>
      <w:tr>
        <w:trPr>
          <w:cantSplit/>
        </w:trPr>
        <w:tc>
          <w:tcPr>
            <w:tcW w:type="dxa" w:w="92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Веб-сервис / платформа</w:t>
            </w:r>
          </w:p>
        </w:tc>
        <w:tc>
          <w:tcPr>
            <w:tcW w:type="dxa" w:w="5412"/>
            <w:vAlign w:val="center"/>
          </w:tcPr>
          <w:p>
            <w:pPr>
              <w:spacing w:after="40" w:before="20" w:line="240" w:lineRule="auto"/>
            </w:pPr>
            <w:hyperlink r:id="rId24">
              <w:r>
                <w:rPr>
                  <w:color w:val="0563C1"/>
                  <w:u w:val="single"/>
                </w:rPr>
                <w:t xml:space="preserve">avito.ru</w:t>
              </w:r>
            </w:hyperlink>
            <w:r>
              <w:rPr>
                <w:sz w:val="20"/>
              </w:rPr>
              <w:t xml:space="preserve">, </w:t>
            </w:r>
            <w:hyperlink r:id="rId25">
              <w:r>
                <w:rPr>
                  <w:color w:val="0563C1"/>
                  <w:u w:val="single"/>
                </w:rPr>
                <w:t xml:space="preserve">github.com</w:t>
              </w:r>
            </w:hyperlink>
            <w:r>
              <w:rPr>
                <w:sz w:val="20"/>
              </w:rPr>
              <w:t xml:space="preserve">, </w:t>
            </w:r>
            <w:hyperlink r:id="rId26">
              <w:r>
                <w:rPr>
                  <w:color w:val="0563C1"/>
                  <w:u w:val="single"/>
                </w:rPr>
                <w:t xml:space="preserve">booking.com</w:t>
              </w:r>
            </w:hyperlink>
            <w:r>
              <w:rPr>
                <w:sz w:val="20"/>
              </w:rPr>
              <w:t xml:space="preserve">, </w:t>
            </w:r>
            <w:hyperlink r:id="rId27">
              <w:r>
                <w:rPr>
                  <w:color w:val="0563C1"/>
                  <w:u w:val="single"/>
                </w:rPr>
                <w:t xml:space="preserve">kinopoisk.ru</w:t>
              </w:r>
            </w:hyperlink>
            <w:r>
              <w:rPr>
                <w:sz w:val="20"/>
              </w:rPr>
              <w:t xml:space="preserve">, </w:t>
            </w:r>
            <w:hyperlink r:id="rId28">
              <w:r>
                <w:rPr>
                  <w:color w:val="0563C1"/>
                  <w:u w:val="single"/>
                </w:rPr>
                <w:t xml:space="preserve">dzen.ru</w:t>
              </w:r>
            </w:hyperlink>
          </w:p>
        </w:tc>
      </w:tr>
      <w:tr>
        <w:trPr>
          <w:cantSplit/>
        </w:trPr>
        <w:tc>
          <w:tcPr>
            <w:tcW w:type="dxa" w:w="92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3298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Поисковая система / интернет-портал</w:t>
            </w:r>
          </w:p>
        </w:tc>
        <w:tc>
          <w:tcPr>
            <w:tcW w:type="dxa" w:w="5412"/>
            <w:vAlign w:val="center"/>
          </w:tcPr>
          <w:p>
            <w:pPr>
              <w:spacing w:after="40" w:before="20" w:line="240" w:lineRule="auto"/>
            </w:pPr>
            <w:hyperlink r:id="rId29">
              <w:r>
                <w:rPr>
                  <w:color w:val="0563C1"/>
                  <w:u w:val="single"/>
                </w:rPr>
                <w:t xml:space="preserve">yandex.ru</w:t>
              </w:r>
            </w:hyperlink>
            <w:r>
              <w:rPr>
                <w:sz w:val="20"/>
              </w:rPr>
              <w:t xml:space="preserve">, </w:t>
            </w:r>
            <w:hyperlink r:id="rId30">
              <w:r>
                <w:rPr>
                  <w:color w:val="0563C1"/>
                  <w:u w:val="single"/>
                </w:rPr>
                <w:t xml:space="preserve">google.com</w:t>
              </w:r>
            </w:hyperlink>
            <w:r>
              <w:rPr>
                <w:sz w:val="20"/>
              </w:rPr>
              <w:t xml:space="preserve">, </w:t>
            </w:r>
            <w:hyperlink r:id="rId31">
              <w:r>
                <w:rPr>
                  <w:color w:val="0563C1"/>
                  <w:u w:val="single"/>
                </w:rPr>
                <w:t xml:space="preserve">mail.ru</w:t>
              </w:r>
            </w:hyperlink>
            <w:r>
              <w:rPr>
                <w:sz w:val="20"/>
              </w:rPr>
              <w:t xml:space="preserve">, </w:t>
            </w:r>
            <w:hyperlink r:id="rId32">
              <w:r>
                <w:rPr>
                  <w:color w:val="0563C1"/>
                  <w:u w:val="single"/>
                </w:rPr>
                <w:t xml:space="preserve">bing.com</w:t>
              </w:r>
            </w:hyperlink>
            <w:r>
              <w:rPr>
                <w:sz w:val="20"/>
              </w:rPr>
              <w:t xml:space="preserve">, </w:t>
            </w:r>
            <w:hyperlink r:id="rId33">
              <w:r>
                <w:rPr>
                  <w:color w:val="0563C1"/>
                  <w:u w:val="single"/>
                </w:rPr>
                <w:t xml:space="preserve">duckduckgo.com</w:t>
              </w:r>
            </w:hyperlink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6"/>
        </w:rPr>
        <w:t>Задание 2. Характеристика типов сайтов: плюсы и минусы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979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Суть</w:t>
            </w:r>
          </w:p>
        </w:tc>
        <w:tc>
          <w:tcPr>
            <w:tcW w:type="dxa" w:w="288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+  Плюсы</w:t>
            </w:r>
          </w:p>
        </w:tc>
        <w:tc>
          <w:tcPr>
            <w:tcW w:type="dxa" w:w="288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–  Минусы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Интернет-магазин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Продажа товаров онлайн: каталог, корзина, оплата, доставка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Работа 24/7, не ограничен географией, широкий ассортимент, аналитика продаж, персонализация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Нужны логистика и склады, проблемы доверия/возвратов, конверсия зависит от UX, высокая конкуренция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Корпоративный сайт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Лицо компании: информация, услуги, контакты, отчётность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Формирует доверие и имидж, полный контроль контента, SEO-площадка, единая точка информации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Прямо не продаёт, нужна постоянная поддержка, часто статичен, слабое вовлечение посетителей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СМИ / портал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Публикация новостей и статей, монетизация трафиком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Регулярный контент, широкий охват, реклама и подписки, экспертность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Зависимость от редакции, реклама раздражает читателей, требования к скорости публикации, модерация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Веб-сервис / платформа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SaaS, классифайды, двусторонние рынки (продавец ↔ покупатель)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Масштабируемость, сетевой эффект (чем больше пользователей — тем ценнее), подписки, API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Сложная разработка и безопасность, надо привлекать обе стороны рынка, отток пользователей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Поисковик / портал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Поиск по интернету + экосистема сервисов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Огромная ежедневная аудитория, монетизация рекламой, данные для персонализации</w:t>
            </w:r>
          </w:p>
        </w:tc>
        <w:tc>
          <w:tcPr>
            <w:tcW w:type="dxa" w:w="288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Огромная сложность (индексация, ранжирование), вопросы приватности, качество выдачи критично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6"/>
        </w:rPr>
        <w:t>Задания 3–5. Удобство использования, целевая аудитория, цели и задачи сайтов</w:t>
      </w:r>
    </w:p>
    <w:p>
      <w:pPr/>
      <w:r>
        <w:rPr>
          <w:rFonts w:ascii="Times New Roman" w:hAnsi="Times New Roman"/>
          <w:b/>
          <w:sz w:val="24"/>
        </w:rPr>
        <w:t>Тип 1. Интернет-магазины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703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type="dxa" w:w="2978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Удобство (+ понравилось / - неудобно)</w:t>
            </w:r>
          </w:p>
        </w:tc>
        <w:tc>
          <w:tcPr>
            <w:tcW w:type="dxa" w:w="2978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Целевая аудитория</w:t>
            </w:r>
          </w:p>
        </w:tc>
        <w:tc>
          <w:tcPr>
            <w:tcW w:type="dxa" w:w="2978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Цели и задачи</w:t>
            </w:r>
          </w:p>
        </w:tc>
      </w:tr>
      <w:tr>
        <w:trPr>
          <w:cantSplit/>
        </w:trPr>
        <w:tc>
          <w:tcPr>
            <w:tcW w:type="dxa" w:w="70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Ozon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Быстрая доставка, огромная сеть ПВЗ, удобные фильтры, кэшбэк и подписка Premium. - Перегружен рекламой и акциями, товары от разных продавцов — разное качество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Массовый покупатель 18–55, жители городов и регионов, подписчики Premium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Максимум продаж и доли рынка, удержание клиентов (подписка, кэшбэк), развитие экосистемы, скорость доставки</w:t>
            </w:r>
          </w:p>
        </w:tc>
      </w:tr>
      <w:tr>
        <w:trPr>
          <w:cantSplit/>
        </w:trPr>
        <w:tc>
          <w:tcPr>
            <w:tcW w:type="dxa" w:w="70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Wildberries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Низкие цены, простой заказ и самовывоз через ПВЗ, огромный ассортимент. - Поиск и каталог слабее, качество/подлинность от сторонних продавцов, поддержка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Женская аудитория 20–45, чувствительная к цене, покупатели в регионах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Объём продаж за счёт низких цен, развитие сети ПВЗ, маркетплейс для продавцов</w:t>
            </w:r>
          </w:p>
        </w:tc>
      </w:tr>
      <w:tr>
        <w:trPr>
          <w:cantSplit/>
        </w:trPr>
        <w:tc>
          <w:tcPr>
            <w:tcW w:type="dxa" w:w="70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DNS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Понятный каталог техники, сравнение товаров, наличие по магазинам, гарантийное обслуживание. - Ассортимент ограничен электроникой, часть операций всё равно ведёт в офлайн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Покупатели электроники 18–40, техно-энтузиасты, семьи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Продажи техники, связка онлайн + розничные магазины, сервис и гарантии как преимущество</w:t>
            </w:r>
          </w:p>
        </w:tc>
      </w:tr>
      <w:tr>
        <w:trPr>
          <w:cantSplit/>
        </w:trPr>
        <w:tc>
          <w:tcPr>
            <w:tcW w:type="dxa" w:w="70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Citilink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Фильтры и сравнение, кэшбэк, привлекательные цены на акциях. - Ассортимент/наличие слабее DNS, интерфейс перегружен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Экономные покупатели техники, преимущественно мужчины 20–45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Продажи с кэшбэком, ценовая конкуренция с DNS, привлечение трафика акциями</w:t>
            </w:r>
          </w:p>
        </w:tc>
      </w:tr>
      <w:tr>
        <w:trPr>
          <w:cantSplit/>
        </w:trPr>
        <w:tc>
          <w:tcPr>
            <w:tcW w:type="dxa" w:w="70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Леруа Мерлен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Удобные разделы стройматериалов и DIY, идеи ремонта и калькуляторы, наличие в магазинах. - Огромный каталог, без подбора специалиста сложно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Частные домовладельцы 25–55, делающие ремонт своими руками, строители</w:t>
            </w:r>
          </w:p>
        </w:tc>
        <w:tc>
          <w:tcPr>
            <w:tcW w:type="dxa" w:w="297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Продажи, воронка «идея → товар», связка интернет-магазина с офлайн-гипермаркетами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4"/>
        </w:rPr>
        <w:t>Тип 2. Корпоративные сайты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597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type="dxa" w:w="3014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Удобство</w:t>
            </w:r>
          </w:p>
        </w:tc>
        <w:tc>
          <w:tcPr>
            <w:tcW w:type="dxa" w:w="3014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Целевая аудитория</w:t>
            </w:r>
          </w:p>
        </w:tc>
        <w:tc>
          <w:tcPr>
            <w:tcW w:type="dxa" w:w="3014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Цели и задачи</w:t>
            </w:r>
          </w:p>
        </w:tc>
      </w:tr>
      <w:tr>
        <w:trPr>
          <w:cantSplit/>
        </w:trPr>
        <w:tc>
          <w:tcPr>
            <w:tcW w:type="dxa" w:w="59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Сбер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Единая точка доступа к банку и экосистеме (страховки, подписки), навигация и безопасность. - Огромный объём контента, найти нужное можно не сразу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Частные клиенты и юрлица всех возрастов, пользователи экосистемы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Доверие и имидж, продажа банковских услуг, перевод клиентов в онлайн</w:t>
            </w:r>
          </w:p>
        </w:tc>
      </w:tr>
      <w:tr>
        <w:trPr>
          <w:cantSplit/>
        </w:trPr>
        <w:tc>
          <w:tcPr>
            <w:tcW w:type="dxa" w:w="59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Т-Банк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Современный UX, финансовая аналитика, подписки, всё решается в приложении/кабинете. - Для новичков функционал перегружен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Молодёжь 20–35, digital-ориентированные, малый бизнес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Диджитал-банк без отделений, подписки, развитие финансовой аналитики</w:t>
            </w:r>
          </w:p>
        </w:tc>
      </w:tr>
      <w:tr>
        <w:trPr>
          <w:cantSplit/>
        </w:trPr>
        <w:tc>
          <w:tcPr>
            <w:tcW w:type="dxa" w:w="59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РЖД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Покупка билетов онлайн, личный кабинет, бонусная программа. - Сервис периодически перегружен, часть операций требует поддержки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Путешествующие поездами 20–60, пассажиры дальнего следования и пригорода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Онлайн-продажа билетов, лояльность (бонусы), разгрузка касс</w:t>
            </w:r>
          </w:p>
        </w:tc>
      </w:tr>
      <w:tr>
        <w:trPr>
          <w:cantSplit/>
        </w:trPr>
        <w:tc>
          <w:tcPr>
            <w:tcW w:type="dxa" w:w="59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Аэрофлот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Бронь и оплата билетов, личный кабинет, программа «Аэрофлот Бонус». - Много тарифов и условий, новичку сложно разобраться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Деловые и туристические пассажиры 25–55, участники программ лояльности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Прямые продажи билетов без агентств, удержание через мили, информирование</w:t>
            </w:r>
          </w:p>
        </w:tc>
      </w:tr>
      <w:tr>
        <w:trPr>
          <w:cantSplit/>
        </w:trPr>
        <w:tc>
          <w:tcPr>
            <w:tcW w:type="dxa" w:w="59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Газпром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Представительный имидж, структурированная информация, раздел для инвесторов. - Не ориентирован на покупателя услуг, никаких e-commerce задач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Инвесторы и аналитики, СМИ, партнёры, соискатели</w:t>
            </w:r>
          </w:p>
        </w:tc>
        <w:tc>
          <w:tcPr>
            <w:tcW w:type="dxa" w:w="301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Имидж, раскрытие информации, отношения с инвесторами, подбор персонала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4"/>
        </w:rPr>
        <w:t>Тип 3. СМИ и порталы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720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type="dxa" w:w="3097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Удобство</w:t>
            </w:r>
          </w:p>
        </w:tc>
        <w:tc>
          <w:tcPr>
            <w:tcW w:type="dxa" w:w="2725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Целевая аудитория</w:t>
            </w:r>
          </w:p>
        </w:tc>
        <w:tc>
          <w:tcPr>
            <w:tcW w:type="dxa" w:w="3097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Цели и задачи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Habr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Удобное чтение статей, хабы по темам, комментарии, оценка кармы. - В комментариях много шума, часть контента требует подписки</w:t>
            </w:r>
          </w:p>
        </w:tc>
        <w:tc>
          <w:tcPr>
            <w:tcW w:type="dxa" w:w="272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IT-специалисты и разработчики 20–40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Контент-сообщество, монетизация (вакансии, реклама), карьерная платформа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Lenta.ru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Быстрая лента новостей, простой интерфейс, многофункциональный сайт. - Кликбейтные заголовки, много рекламы</w:t>
            </w:r>
          </w:p>
        </w:tc>
        <w:tc>
          <w:tcPr>
            <w:tcW w:type="dxa" w:w="272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Массовая аудитория 20–55, читающая новости ежедневно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Трафик → реклама, оперативность публикаций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РБК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Деловые новости и аналитика, финансовые данные, качественная журналистика. - Плотный текст, часть контента по подписке</w:t>
            </w:r>
          </w:p>
        </w:tc>
        <w:tc>
          <w:tcPr>
            <w:tcW w:type="dxa" w:w="272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Бизнес-аудитория: управленцы, инвесторы 25–55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Авторитет в деловых медиа, монетизация подпиской и рекламой, B2B-сервисы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РИА Новости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Официальный источник, оперативность, мультимедиа-форматы. - Нет персонализации, строгий редакционный стиль</w:t>
            </w:r>
          </w:p>
        </w:tc>
        <w:tc>
          <w:tcPr>
            <w:tcW w:type="dxa" w:w="272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Широкая аудитория, журналисты, госструктуры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Информирование, формирование повестки, распространение через агрегаторы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Коммерсантъ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Глубокая аналитика, архив, деловая репутация. - Часть контента платная, сухой академичный стиль</w:t>
            </w:r>
          </w:p>
        </w:tc>
        <w:tc>
          <w:tcPr>
            <w:tcW w:type="dxa" w:w="272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Деловая элита, юристы, финансисты 30–60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Премиальная деловая журналистика, подписная модель, имидж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4"/>
        </w:rPr>
        <w:t>Тип 4. Веб-сервисы и платформы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693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type="dxa" w:w="3082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Удобство</w:t>
            </w:r>
          </w:p>
        </w:tc>
        <w:tc>
          <w:tcPr>
            <w:tcW w:type="dxa" w:w="2782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Целевая аудитория</w:t>
            </w:r>
          </w:p>
        </w:tc>
        <w:tc>
          <w:tcPr>
            <w:tcW w:type="dxa" w:w="3082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Цели и задачи</w:t>
            </w:r>
          </w:p>
        </w:tc>
      </w:tr>
      <w:tr>
        <w:trPr>
          <w:cantSplit/>
        </w:trPr>
        <w:tc>
          <w:tcPr>
            <w:tcW w:type="dxa" w:w="69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Avito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Простые объявления, фильтры, безопасная сделка, огромный охват. - Спам и мошенники, реклама в выдаче</w:t>
            </w:r>
          </w:p>
        </w:tc>
        <w:tc>
          <w:tcPr>
            <w:tcW w:type="dxa" w:w="27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Продавцы и покупатели 18–60, частники и бизнес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Лидерство в классифайдах, монетизация платными услугами, доверие (безопасная сделка)</w:t>
            </w:r>
          </w:p>
        </w:tc>
      </w:tr>
      <w:tr>
        <w:trPr>
          <w:cantSplit/>
        </w:trPr>
        <w:tc>
          <w:tcPr>
            <w:tcW w:type="dxa" w:w="69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GitHub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Хостинг кода, код-ревью, CI/CD, open-source экосистема. - Порожек входа высокий, интерфейс на английском</w:t>
            </w:r>
          </w:p>
        </w:tc>
        <w:tc>
          <w:tcPr>
            <w:tcW w:type="dxa" w:w="27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Разработчики, команды, open-source сообщества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Хостинг репозиториев, коллаборация, продажи enterprise-решений</w:t>
            </w:r>
          </w:p>
        </w:tc>
      </w:tr>
      <w:tr>
        <w:trPr>
          <w:cantSplit/>
        </w:trPr>
        <w:tc>
          <w:tcPr>
            <w:tcW w:type="dxa" w:w="69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Booking.com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Огромная база жилья, фильтры, бесплатная отмена, скидки Genius. - Давление «осталось мало номеров», скрытые сборы</w:t>
            </w:r>
          </w:p>
        </w:tc>
        <w:tc>
          <w:tcPr>
            <w:tcW w:type="dxa" w:w="27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Туристы и командировочные 20–55, отельеры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Бронирование жилья, комиссия с отелей, лояльность через Genius</w:t>
            </w:r>
          </w:p>
        </w:tc>
      </w:tr>
      <w:tr>
        <w:trPr>
          <w:cantSplit/>
        </w:trPr>
        <w:tc>
          <w:tcPr>
            <w:tcW w:type="dxa" w:w="69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Кинопоиск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Полная база фильмов, рейтинги и рецензии, интеграция с онлайн-кинотеатром. - Часть контента платная, реклама</w:t>
            </w:r>
          </w:p>
        </w:tc>
        <w:tc>
          <w:tcPr>
            <w:tcW w:type="dxa" w:w="27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Киноманы 18–40, подписчики онлайн-кинотеатра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Информационный сервис о кино, монетизация подпиской, онлайн-просмотр</w:t>
            </w:r>
          </w:p>
        </w:tc>
      </w:tr>
      <w:tr>
        <w:trPr>
          <w:cantSplit/>
        </w:trPr>
        <w:tc>
          <w:tcPr>
            <w:tcW w:type="dxa" w:w="693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Дзен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Персональные ленты по интересам, платформа для авторов, монетизация контента. - Качество контента неравномерно, алгоритмы создают «информационный пузырь»</w:t>
            </w:r>
          </w:p>
        </w:tc>
        <w:tc>
          <w:tcPr>
            <w:tcW w:type="dxa" w:w="27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Потребители контента 25–55, блогеры и авторы</w:t>
            </w:r>
          </w:p>
        </w:tc>
        <w:tc>
          <w:tcPr>
            <w:tcW w:type="dxa" w:w="3082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Удержание внимания и время на платформе, реклама, экосистема Яндекса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4"/>
        </w:rPr>
        <w:t>Тип 5. Поисковые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651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type="dxa" w:w="299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Удобство</w:t>
            </w:r>
          </w:p>
        </w:tc>
        <w:tc>
          <w:tcPr>
            <w:tcW w:type="dxa" w:w="299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Целевая аудитория</w:t>
            </w:r>
          </w:p>
        </w:tc>
        <w:tc>
          <w:tcPr>
            <w:tcW w:type="dxa" w:w="299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Цели и задачи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Яндекс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Лучший русскоязычный поиск, экосистема (Карты, Погода, Музыка, Дзен). - Реклама в выдаче, экосистема перегружает страницу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Массовая аудитория РФ и СНГ всех возрастов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Захват поискового трафика, рекламная монетизация, удержание через экосистему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Google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Качество поиска, скорость, интеграции (Gmail, Maps, Drive). - Много рекламы, в РФ доступны не все сервисы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Глобальная аудитория 15–65, веб-пользователи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Поиск и реклама, экосистема Android и Cloud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Mail.ru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Почта как якорь, набор сервисов (новости, игры, облако). - Плотный интерфейс, активное продвижение своих сервисов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Массовая аудитория 25–55, пользователи почты и новостей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Почта → портал, монетизация рекламой, экосистема VK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Bing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Поиск и картинки, награды Microsoft Rewards, интеграция с Windows/Copilot. - Малая доля рынка, на русском качество ниже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Пользователи Windows/Edge, международная аудитория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Доля поискового рынка Microsoft, интеграция с продуктами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DuckDuckGo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+ Приватность (без слежки), минимализм, простота. - Выдача иногда слабее, мало локальных данных для РФ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«Приватно»-ориентированные пользователи 20–45, технически грамотные</w:t>
            </w:r>
          </w:p>
        </w:tc>
        <w:tc>
          <w:tcPr>
            <w:tcW w:type="dxa" w:w="299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Приватный поиск как УТП, рост доли, непрофилированная реклама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/>
          <w:b/>
          <w:sz w:val="26"/>
        </w:rPr>
        <w:t>Задание 6. Матрица позиционирования</w:t>
      </w:r>
    </w:p>
    <w:p>
      <w:r>
        <w:t xml:space="preserve">Оси: </w:t>
      </w:r>
      <w:r>
        <w:rPr>
          <w:b/>
        </w:rPr>
        <w:t>X — цена</w:t>
      </w:r>
      <w:r>
        <w:t xml:space="preserve"> (уровень цен для покупателя), </w:t>
      </w:r>
      <w:r>
        <w:rPr>
          <w:b/>
        </w:rPr>
        <w:t>Y — качество/сервис</w:t>
      </w:r>
      <w:r>
        <w:t xml:space="preserve"> (удобство, скорость, ассортимент, надёжность). Строим на примере типа «интернет-магазин» — там наибольшая конкуренция.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625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</w:p>
        </w:tc>
        <w:tc>
          <w:tcPr>
            <w:tcW w:type="dxa" w:w="3987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Высокая цена</w:t>
            </w:r>
          </w:p>
        </w:tc>
        <w:tc>
          <w:tcPr>
            <w:tcW w:type="dxa" w:w="4025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Низкая цена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Высокое качество/сервис</w:t>
            </w:r>
          </w:p>
        </w:tc>
        <w:tc>
          <w:tcPr>
            <w:tcW w:type="dxa" w:w="398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Кв. 1 — Лидеры:</w:t>
            </w:r>
            <w:r>
              <w:rPr>
                <w:sz w:val="20"/>
              </w:rPr>
              <w:t xml:space="preserve"> *Ozon, DNS* (широкий ассортимент + быстрая доставка/сеть ПВЗ)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Кв. 2 — «Вызывающие лидеры»:</w:t>
            </w:r>
            <w:r>
              <w:rPr>
                <w:sz w:val="20"/>
              </w:rPr>
              <w:t xml:space="preserve"> *Wildberries* (низкие цены при хорошем сервисе ПВЗ)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Низкое качество/сервис</w:t>
            </w:r>
          </w:p>
        </w:tc>
        <w:tc>
          <w:tcPr>
            <w:tcW w:type="dxa" w:w="3987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Кв. 4 — Аутсайдеры:</w:t>
            </w:r>
            <w:r>
              <w:rPr>
                <w:sz w:val="20"/>
              </w:rPr>
              <w:t xml:space="preserve"> *(пусто)*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Кв. 3 — Нишевые игроки:</w:t>
            </w:r>
            <w:r>
              <w:rPr>
                <w:sz w:val="20"/>
              </w:rPr>
              <w:t xml:space="preserve"> *Citilink* (ниша техники, средний сервис, кэшбэк), *Леруа Мерлен* (ниша DIY/стройматериалов)</w:t>
            </w:r>
          </w:p>
        </w:tc>
      </w:tr>
    </w:tbl>
    <w:p>
      <w:pPr>
        <w:spacing w:after="40"/>
      </w:pPr>
    </w:p>
    <w:p>
      <w:r>
        <w:rPr>
          <w:b/>
        </w:rPr>
        <w:t>Выводы:</w:t>
      </w:r>
    </w:p>
    <w:p>
      <w:pPr>
        <w:ind w:left="340"/>
      </w:pPr>
      <w:r>
        <w:t xml:space="preserve">Лидеры — </w:t>
      </w:r>
      <w:r>
        <w:rPr>
          <w:b/>
        </w:rPr>
        <w:t>Ozon</w:t>
      </w:r>
      <w:r>
        <w:t xml:space="preserve"> и </w:t>
      </w:r>
      <w:r>
        <w:rPr>
          <w:b/>
        </w:rPr>
        <w:t>DNS</w:t>
      </w:r>
      <w:r>
        <w:t xml:space="preserve"> (сервис и ассортимент при средних ценах), </w:t>
      </w:r>
      <w:r>
        <w:rPr>
          <w:b/>
        </w:rPr>
        <w:t>WB</w:t>
      </w:r>
      <w:r>
        <w:t xml:space="preserve"> атакует их ценой → квадрант «вызывающих лидеров».</w:t>
      </w:r>
    </w:p>
    <w:p>
      <w:pPr>
        <w:ind w:left="340"/>
      </w:pPr>
      <w:r>
        <w:t>Кв. 4 пуст → рынок здоровый, явных аутсайдеров среди крупных игроков нет.</w:t>
      </w:r>
    </w:p>
    <w:p>
      <w:pPr>
        <w:ind w:left="340"/>
      </w:pPr>
      <w:r>
        <w:rPr>
          <w:b/>
        </w:rPr>
        <w:t>Свободная ниша:</w:t>
      </w:r>
      <w:r>
        <w:t xml:space="preserve"> премиальный сервис в специализированных категориях (на стыке Кв. 1–3) — например, локальные ниши, где маркетплейсы неудобны.</w:t>
      </w:r>
    </w:p>
    <w:p>
      <w:pPr>
        <w:ind w:left="340"/>
      </w:pPr>
      <w:r>
        <w:t>Для маленького игрока стратегия — Кв. 3: сфокусироваться на своей нише, не пытаться конкурировать с Ozon/WB по ассортименту.</w:t>
      </w:r>
    </w:p>
    <w:p>
      <w:r>
        <w:rPr>
          <w:b/>
        </w:rPr>
        <w:t>Дополнительно рассмотрено позиционирование типов сайтов</w:t>
      </w:r>
      <w:r>
        <w:t xml:space="preserve"> (оси: X — сложность/стоимость разработки, Y — широта аудитории):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544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</w:p>
        </w:tc>
        <w:tc>
          <w:tcPr>
            <w:tcW w:type="dxa" w:w="4668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Дорого/сложно</w:t>
            </w:r>
          </w:p>
        </w:tc>
        <w:tc>
          <w:tcPr>
            <w:tcW w:type="dxa" w:w="3426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Дёшево/просто</w:t>
            </w:r>
          </w:p>
        </w:tc>
      </w:tr>
      <w:tr>
        <w:trPr>
          <w:cantSplit/>
        </w:trPr>
        <w:tc>
          <w:tcPr>
            <w:tcW w:type="dxa" w:w="154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Массовая аудитория</w:t>
            </w:r>
          </w:p>
        </w:tc>
        <w:tc>
          <w:tcPr>
            <w:tcW w:type="dxa" w:w="466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Поисковики, крупные платформы (Avito, Booking)</w:t>
            </w:r>
          </w:p>
        </w:tc>
        <w:tc>
          <w:tcPr>
            <w:tcW w:type="dxa" w:w="342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СМИ/порталы, сервисы на готовых решениях</w:t>
            </w:r>
          </w:p>
        </w:tc>
      </w:tr>
      <w:tr>
        <w:trPr>
          <w:cantSplit/>
        </w:trPr>
        <w:tc>
          <w:tcPr>
            <w:tcW w:type="dxa" w:w="154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Узкая аудитория</w:t>
            </w:r>
          </w:p>
        </w:tc>
        <w:tc>
          <w:tcPr>
            <w:tcW w:type="dxa" w:w="4668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Корпоративные порталы крупных компаний, высоконагруженные системы</w:t>
            </w:r>
          </w:p>
        </w:tc>
        <w:tc>
          <w:tcPr>
            <w:tcW w:type="dxa" w:w="3426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Лендинги/визитки, сайты малого бизнеса</w:t>
            </w:r>
          </w:p>
        </w:tc>
      </w:tr>
    </w:tbl>
    <w:p>
      <w:pPr>
        <w:spacing w:after="40"/>
      </w:pPr>
    </w:p>
    <w:p>
      <w:r>
        <w:rPr>
          <w:b/>
        </w:rPr>
        <w:t>Вывод:</w:t>
      </w:r>
      <w:r>
        <w:t xml:space="preserve"> точка входа для новичка — «дёшево + узко» (визитки, лендинги), рост — в сторону сервисов; крупный бизнес строит «дорого + массово».</w:t>
      </w:r>
    </w:p>
    <w:p>
      <w:pPr/>
      <w:r>
        <w:rPr>
          <w:rFonts w:ascii="Times New Roman" w:hAnsi="Times New Roman"/>
          <w:b/>
          <w:sz w:val="26"/>
        </w:rPr>
        <w:t>Задание 7. SWOT-анализ (на примере интернет-магазина Ozon)</w:t>
      </w:r>
    </w:p>
    <w:p>
      <w:r>
        <w:rPr>
          <w:b/>
        </w:rPr>
        <w:t>Объект:</w:t>
      </w:r>
      <w:r>
        <w:t xml:space="preserve"> интернет-магазин (маркетплейс) Ozon.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30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Внутренняя среда</w:t>
            </w:r>
          </w:p>
        </w:tc>
        <w:tc>
          <w:tcPr>
            <w:tcW w:type="dxa" w:w="4404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Сильные стороны (S)</w:t>
            </w:r>
          </w:p>
        </w:tc>
        <w:tc>
          <w:tcPr>
            <w:tcW w:type="dxa" w:w="4404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Слабые стороны (W)</w:t>
            </w:r>
          </w:p>
        </w:tc>
      </w:tr>
      <w:tr>
        <w:trPr>
          <w:cantSplit/>
        </w:trPr>
        <w:tc>
          <w:tcPr>
            <w:tcW w:type="dxa" w:w="830"/>
            <w:vAlign w:val="center"/>
          </w:tcPr>
          <w:p>
            <w:pPr>
              <w:spacing w:after="40" w:before="20" w:line="240" w:lineRule="auto"/>
            </w:pPr>
          </w:p>
        </w:tc>
        <w:tc>
          <w:tcPr>
            <w:tcW w:type="dxa" w:w="440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1. Огромный ассортимент и модель маркетплейса • 2. Быстрая доставка и развитая сеть ПВЗ • 3. Экосистема: Ozon Premium, кэшбэк, финтех-сервисы • 4. Сильные технологии (рекомендации, логистика) • 5. Высокая узнаваемость бренда</w:t>
            </w:r>
          </w:p>
        </w:tc>
        <w:tc>
          <w:tcPr>
            <w:tcW w:type="dxa" w:w="440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1. Качество и подлинность товаров от сторонних продавцов • 2. Перегруженность интерфейса рекламой и акциями • 3. Высокие логистические издержки • 4. Комиссии для продавцов (отток на другие площадки)</w:t>
            </w:r>
          </w:p>
        </w:tc>
      </w:tr>
      <w:tr>
        <w:trPr>
          <w:cantSplit/>
        </w:trPr>
        <w:tc>
          <w:tcPr>
            <w:tcW w:type="dxa" w:w="830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Внешняя среда</w:t>
            </w:r>
          </w:p>
        </w:tc>
        <w:tc>
          <w:tcPr>
            <w:tcW w:type="dxa" w:w="440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Возможности (O)</w:t>
            </w:r>
          </w:p>
        </w:tc>
        <w:tc>
          <w:tcPr>
            <w:tcW w:type="dxa" w:w="440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Угрозы (T)</w:t>
            </w:r>
          </w:p>
        </w:tc>
      </w:tr>
      <w:tr>
        <w:trPr>
          <w:cantSplit/>
        </w:trPr>
        <w:tc>
          <w:tcPr>
            <w:tcW w:type="dxa" w:w="830"/>
            <w:vAlign w:val="center"/>
          </w:tcPr>
          <w:p>
            <w:pPr>
              <w:spacing w:after="40" w:before="20" w:line="240" w:lineRule="auto"/>
            </w:pPr>
          </w:p>
        </w:tc>
        <w:tc>
          <w:tcPr>
            <w:tcW w:type="dxa" w:w="440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1. Рост e-commerce и проникновения в регионах • 2. Финтех: рассрочки, кредиты внутри платформы • 3. AI-персонализация и умные подборки • 4. Экспансия в страны СНГ</w:t>
            </w:r>
          </w:p>
        </w:tc>
        <w:tc>
          <w:tcPr>
            <w:tcW w:type="dxa" w:w="4404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1. Жёсткая конкуренция с Wildberries и другими маркетплейсами • 2. Рост логистики и инфляции, курсы валют • 3. Регулирование маркетплейсов государством • 4. Ценовая война за покупателя</w:t>
            </w:r>
          </w:p>
        </w:tc>
      </w:tr>
    </w:tbl>
    <w:p>
      <w:pPr>
        <w:spacing w:after="40"/>
      </w:pPr>
    </w:p>
    <w:p>
      <w:r>
        <w:rPr>
          <w:b/>
        </w:rPr>
        <w:t>Матрица решений (этап 4):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552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Связка</w:t>
            </w:r>
          </w:p>
        </w:tc>
        <w:tc>
          <w:tcPr>
            <w:tcW w:type="dxa" w:w="8085"/>
            <w:vAlign w:val="center"/>
            <w:shd w:val="clear" w:color="auto" w:fill="DEEBF7"/>
          </w:tcPr>
          <w:p>
            <w:pPr>
              <w:spacing w:after="40" w:before="20" w:line="240" w:lineRule="auto"/>
              <w:jc w:val="center"/>
            </w:pPr>
            <w:r>
              <w:rPr>
                <w:b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155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S + O</w:t>
            </w:r>
          </w:p>
        </w:tc>
        <w:tc>
          <w:tcPr>
            <w:tcW w:type="dxa" w:w="808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Использовать сеть ПВЗ, логистику и подписку Premium для экспансии в регионы и СНГ</w:t>
            </w:r>
          </w:p>
        </w:tc>
      </w:tr>
      <w:tr>
        <w:trPr>
          <w:cantSplit/>
        </w:trPr>
        <w:tc>
          <w:tcPr>
            <w:tcW w:type="dxa" w:w="155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W + O</w:t>
            </w:r>
          </w:p>
        </w:tc>
        <w:tc>
          <w:tcPr>
            <w:tcW w:type="dxa" w:w="808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Верификация продавцов и AI-контроль качества → доверие при росте e-commerce и региональной экспансии</w:t>
            </w:r>
          </w:p>
        </w:tc>
      </w:tr>
      <w:tr>
        <w:trPr>
          <w:cantSplit/>
        </w:trPr>
        <w:tc>
          <w:tcPr>
            <w:tcW w:type="dxa" w:w="155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S + T</w:t>
            </w:r>
          </w:p>
        </w:tc>
        <w:tc>
          <w:tcPr>
            <w:tcW w:type="dxa" w:w="808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Подписка, кэшбэк и рассрочки защищают от ценовой конкуренции с WB; диверсификация логистики — от роста издержек</w:t>
            </w:r>
          </w:p>
        </w:tc>
      </w:tr>
      <w:tr>
        <w:trPr>
          <w:cantSplit/>
        </w:trPr>
        <w:tc>
          <w:tcPr>
            <w:tcW w:type="dxa" w:w="155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sz w:val="20"/>
              </w:rPr>
              <w:t>W + T</w:t>
            </w:r>
          </w:p>
        </w:tc>
        <w:tc>
          <w:tcPr>
            <w:tcW w:type="dxa" w:w="8085"/>
            <w:vAlign w:val="center"/>
          </w:tcPr>
          <w:p>
            <w:pPr>
              <w:spacing w:after="40" w:before="20" w:line="240" w:lineRule="auto"/>
            </w:pPr>
            <w:r>
              <w:rPr>
                <w:sz w:val="20"/>
              </w:rPr>
              <w:t>Контроль комиссий и издержек, ужесточение отбора продавцов — снижают риски при регулировании и ценовой войне</w:t>
            </w:r>
          </w:p>
        </w:tc>
      </w:tr>
    </w:tbl>
    <w:p>
      <w:pPr>
        <w:spacing w:after="40"/>
      </w:pPr>
    </w:p>
    <w:p>
      <w:r>
        <w:rPr>
          <w:b/>
        </w:rPr>
        <w:t>Приоритетные действия:</w:t>
      </w:r>
      <w:r>
        <w:t xml:space="preserve"> усилить контроль качества товаров (W1 + O2), развивать региональную доставку через существующую сеть ПВЗ (S2 + O1), сохранять подписку как защиту от ценовой войны (S3 + T4).</w:t>
      </w:r>
    </w:p>
    <w:p>
      <w:r>
        <w:rPr>
          <w:rFonts w:ascii="Times New Roman" w:hAnsi="Times New Roman" w:cs="Times New Roman"/>
          <w:b/>
          <w:i w:val="0"/>
          <w:sz w:val="24"/>
        </w:rPr>
        <w:t>Вывод: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В ходе выполнения домашнего задания изучен классификатор типов сайтов: рассмотрено 5 типов (интернет-магазины, корпоративные сайты, СМИ и порталы, веб-сервисы и платформы, поисковые системы), для каждого найдено по 5 примеров.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Каждый тип сайтов решает собственные задачи: интернет-магазины продают товары, корпоративные сайты формируют имидж и доверие, СМИ и порталы информируют и монетизируют трафик, веб-сервисы создают сетевые эффекты, поисковые системы удерживают аудиторию экосистемой сервисов.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Оценка удобства 25 сайтов показала: лучший UX у Ozon (скорость доставки и фильтры), Т-Банка (современный интерфейс), DuckDuckGo (простота); хуже всего воспринимаются перегруженные интерфейсы Citilink и Mail.ru.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Матрица позиционирования интернет-магазинов показала лидеров (Ozon, DNS) и «вызывающего лидера» (Wildberries с низкими ценами при хорошем сервисе); квадрант аутсайдеров пуст, свободная ниша — премиальный сервис в специализированных категориях.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SWOT-анализ на примере Ozon продемонстрировал полный цикл метода: сильные и слабые стороны, возможности и угрозы, а также матрицу решений по связкам S+O, W+O, S+T, W+T с приоритетными действиями (контроль качества товаров, развитие региональной доставки, защита подпиской от ценовой войны).</w:t>
      </w:r>
    </w:p>
    <w:sectPr w:rsidR="0007212A" w:rsidRPr="00525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8011F8" w14:textId="77777777" w:rsidR="00F05120" w:rsidRDefault="00F05120" w:rsidP="009E57D9">
      <w:pPr>
        <w:spacing w:line="240" w:lineRule="auto"/>
      </w:pPr>
      <w:r>
        <w:separator/>
      </w:r>
    </w:p>
  </w:endnote>
  <w:endnote w:type="continuationSeparator" w:id="0">
    <w:p w14:paraId="7E86D96B" w14:textId="77777777" w:rsidR="00F05120" w:rsidRDefault="00F05120" w:rsidP="009E5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mil Sangam MN">
    <w:panose1 w:val="00000500000000000000"/>
    <w:charset w:val="00"/>
    <w:family w:val="auto"/>
    <w:pitch w:val="variable"/>
    <w:sig w:usb0="00108003" w:usb1="02000004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BD74D1" w14:textId="77777777" w:rsidR="00F05120" w:rsidRDefault="00F05120" w:rsidP="009E57D9">
      <w:pPr>
        <w:spacing w:line="240" w:lineRule="auto"/>
      </w:pPr>
      <w:r>
        <w:separator/>
      </w:r>
    </w:p>
  </w:footnote>
  <w:footnote w:type="continuationSeparator" w:id="0">
    <w:p w14:paraId="366D5AEA" w14:textId="77777777" w:rsidR="00F05120" w:rsidRDefault="00F05120" w:rsidP="009E57D9">
      <w:pPr>
        <w:spacing w:line="240" w:lineRule="auto"/>
      </w:pPr>
      <w:r>
        <w:continuationSeparator/>
      </w:r>
    </w:p>
  </w:footnote>
  <w:footnote w:id="1">
    <w:p w14:paraId="405D26B0" w14:textId="2B9451C4" w:rsidR="009E57D9" w:rsidRDefault="009E57D9">
      <w:pPr>
        <w:pStyle w:val="af3"/>
      </w:pPr>
      <w:r>
        <w:rPr>
          <w:rStyle w:val="af5"/>
        </w:rPr>
        <w:footnoteRef/>
      </w:r>
      <w:proofErr w:type="spellStart"/>
      <w:r w:rsidRPr="009E57D9">
        <w:t>Субдомен</w:t>
      </w:r>
      <w:proofErr w:type="spellEnd"/>
      <w:r w:rsidRPr="009E57D9">
        <w:t xml:space="preserve"> (поддомен) — это «дочерний» адрес, созданный на базе основного сайта (например, ://site.com на базе site.com). Используется для изоляции отдельных сервисов, языковых версий или тестовых сред, при этом управляется владельцем основного домена абсолютно бесплатно.</w:t>
      </w:r>
    </w:p>
  </w:footnote>
  <w:footnote w:id="2">
    <w:p w14:paraId="6D281439" w14:textId="245A772A" w:rsidR="00D31E85" w:rsidRDefault="00D31E85">
      <w:pPr>
        <w:pStyle w:val="af3"/>
      </w:pPr>
      <w:r>
        <w:rPr>
          <w:rStyle w:val="af5"/>
        </w:rPr>
        <w:footnoteRef/>
      </w:r>
      <w:r>
        <w:t xml:space="preserve"> </w:t>
      </w:r>
      <w:proofErr w:type="spellStart"/>
      <w:r w:rsidRPr="00D31E85">
        <w:t>Кликджекинг</w:t>
      </w:r>
      <w:proofErr w:type="spellEnd"/>
      <w:r w:rsidRPr="00D31E85">
        <w:t xml:space="preserve"> (от англ. </w:t>
      </w:r>
      <w:proofErr w:type="spellStart"/>
      <w:r w:rsidRPr="00D31E85">
        <w:t>click</w:t>
      </w:r>
      <w:proofErr w:type="spellEnd"/>
      <w:r w:rsidRPr="00D31E85">
        <w:t xml:space="preserve"> — клик и </w:t>
      </w:r>
      <w:proofErr w:type="spellStart"/>
      <w:r w:rsidRPr="00D31E85">
        <w:t>jacking</w:t>
      </w:r>
      <w:proofErr w:type="spellEnd"/>
      <w:r w:rsidRPr="00D31E85">
        <w:t xml:space="preserve"> — захват, похищение) — это метод кибермошенничества, при котором пользователя обманом заставляют нажать на невидимый или замаскированный элемент на веб-странице.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8E4CFB"/>
    <w:multiLevelType w:val="multilevel"/>
    <w:tmpl w:val="DBDE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6FF0"/>
    <w:multiLevelType w:val="multilevel"/>
    <w:tmpl w:val="4E1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0F4D"/>
    <w:multiLevelType w:val="multilevel"/>
    <w:tmpl w:val="890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40004"/>
    <w:multiLevelType w:val="hybridMultilevel"/>
    <w:tmpl w:val="97A65592"/>
    <w:lvl w:ilvl="0" w:tplc="35321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2677F"/>
    <w:multiLevelType w:val="multilevel"/>
    <w:tmpl w:val="65B4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12E"/>
    <w:multiLevelType w:val="multilevel"/>
    <w:tmpl w:val="034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B4E22"/>
    <w:multiLevelType w:val="hybridMultilevel"/>
    <w:tmpl w:val="90EA099A"/>
    <w:lvl w:ilvl="0" w:tplc="639A955C">
      <w:start w:val="1"/>
      <w:numFmt w:val="bullet"/>
      <w:lvlText w:val="—"/>
      <w:lvlJc w:val="left"/>
      <w:pPr>
        <w:ind w:left="1429" w:hanging="360"/>
      </w:pPr>
      <w:rPr>
        <w:rFonts w:ascii="Tamil Sangam MN" w:hAnsi="Tamil Sangam M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D00D81"/>
    <w:multiLevelType w:val="multilevel"/>
    <w:tmpl w:val="CC7C5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BA010C"/>
    <w:multiLevelType w:val="multilevel"/>
    <w:tmpl w:val="E1A6423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36132"/>
    <w:multiLevelType w:val="multilevel"/>
    <w:tmpl w:val="94A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902BA"/>
    <w:multiLevelType w:val="multilevel"/>
    <w:tmpl w:val="B46C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A6A64"/>
    <w:multiLevelType w:val="multilevel"/>
    <w:tmpl w:val="7BF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2010E"/>
    <w:multiLevelType w:val="hybridMultilevel"/>
    <w:tmpl w:val="58BE0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637519"/>
    <w:multiLevelType w:val="hybridMultilevel"/>
    <w:tmpl w:val="26B44152"/>
    <w:lvl w:ilvl="0" w:tplc="353214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3642353">
    <w:abstractNumId w:val="12"/>
  </w:num>
  <w:num w:numId="2" w16cid:durableId="1006133679">
    <w:abstractNumId w:val="6"/>
  </w:num>
  <w:num w:numId="3" w16cid:durableId="136649043">
    <w:abstractNumId w:val="7"/>
  </w:num>
  <w:num w:numId="4" w16cid:durableId="769274601">
    <w:abstractNumId w:val="4"/>
  </w:num>
  <w:num w:numId="5" w16cid:durableId="259264420">
    <w:abstractNumId w:val="1"/>
  </w:num>
  <w:num w:numId="6" w16cid:durableId="1849446630">
    <w:abstractNumId w:val="10"/>
  </w:num>
  <w:num w:numId="7" w16cid:durableId="961375071">
    <w:abstractNumId w:val="11"/>
  </w:num>
  <w:num w:numId="8" w16cid:durableId="1638140923">
    <w:abstractNumId w:val="8"/>
  </w:num>
  <w:num w:numId="9" w16cid:durableId="893006581">
    <w:abstractNumId w:val="2"/>
  </w:num>
  <w:num w:numId="10" w16cid:durableId="424960990">
    <w:abstractNumId w:val="5"/>
  </w:num>
  <w:num w:numId="11" w16cid:durableId="1877347870">
    <w:abstractNumId w:val="0"/>
  </w:num>
  <w:num w:numId="12" w16cid:durableId="1932815826">
    <w:abstractNumId w:val="9"/>
  </w:num>
  <w:num w:numId="13" w16cid:durableId="2103722819">
    <w:abstractNumId w:val="3"/>
  </w:num>
  <w:num w:numId="14" w16cid:durableId="8502245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63"/>
    <w:rsid w:val="00001A5D"/>
    <w:rsid w:val="00001F6D"/>
    <w:rsid w:val="00006DE5"/>
    <w:rsid w:val="00012738"/>
    <w:rsid w:val="00012942"/>
    <w:rsid w:val="00032638"/>
    <w:rsid w:val="00042185"/>
    <w:rsid w:val="00066489"/>
    <w:rsid w:val="0007212A"/>
    <w:rsid w:val="0007553F"/>
    <w:rsid w:val="00091DF4"/>
    <w:rsid w:val="000A0679"/>
    <w:rsid w:val="000D2B01"/>
    <w:rsid w:val="000D7931"/>
    <w:rsid w:val="000E30F7"/>
    <w:rsid w:val="000F00FA"/>
    <w:rsid w:val="0010699B"/>
    <w:rsid w:val="00114E13"/>
    <w:rsid w:val="00120EE3"/>
    <w:rsid w:val="0012302F"/>
    <w:rsid w:val="00134FE8"/>
    <w:rsid w:val="0015071F"/>
    <w:rsid w:val="00152389"/>
    <w:rsid w:val="00164DC6"/>
    <w:rsid w:val="001733B3"/>
    <w:rsid w:val="001913A2"/>
    <w:rsid w:val="00191757"/>
    <w:rsid w:val="0019291B"/>
    <w:rsid w:val="00193D7B"/>
    <w:rsid w:val="00194BCF"/>
    <w:rsid w:val="0019748F"/>
    <w:rsid w:val="001C495E"/>
    <w:rsid w:val="001E6079"/>
    <w:rsid w:val="001F773B"/>
    <w:rsid w:val="00216FAB"/>
    <w:rsid w:val="00235DF7"/>
    <w:rsid w:val="0024478A"/>
    <w:rsid w:val="0026174F"/>
    <w:rsid w:val="00266549"/>
    <w:rsid w:val="0027127C"/>
    <w:rsid w:val="00275742"/>
    <w:rsid w:val="002817D6"/>
    <w:rsid w:val="00290B71"/>
    <w:rsid w:val="002A00CB"/>
    <w:rsid w:val="002C0A7F"/>
    <w:rsid w:val="002C32B6"/>
    <w:rsid w:val="002C567C"/>
    <w:rsid w:val="002F4127"/>
    <w:rsid w:val="003128F1"/>
    <w:rsid w:val="00365842"/>
    <w:rsid w:val="00367255"/>
    <w:rsid w:val="003A5914"/>
    <w:rsid w:val="003B028F"/>
    <w:rsid w:val="003B3CD2"/>
    <w:rsid w:val="003B7AE6"/>
    <w:rsid w:val="003C0D38"/>
    <w:rsid w:val="003C1541"/>
    <w:rsid w:val="003D2D4A"/>
    <w:rsid w:val="003F18C8"/>
    <w:rsid w:val="004136CE"/>
    <w:rsid w:val="00431C85"/>
    <w:rsid w:val="00442DAA"/>
    <w:rsid w:val="004508CF"/>
    <w:rsid w:val="004758C9"/>
    <w:rsid w:val="004923B2"/>
    <w:rsid w:val="00496400"/>
    <w:rsid w:val="004A707B"/>
    <w:rsid w:val="004C09A6"/>
    <w:rsid w:val="004D3994"/>
    <w:rsid w:val="004D76D5"/>
    <w:rsid w:val="004E1895"/>
    <w:rsid w:val="00505591"/>
    <w:rsid w:val="00523B48"/>
    <w:rsid w:val="00525FFB"/>
    <w:rsid w:val="00540219"/>
    <w:rsid w:val="00546314"/>
    <w:rsid w:val="00562AC2"/>
    <w:rsid w:val="00566E2B"/>
    <w:rsid w:val="005A44B4"/>
    <w:rsid w:val="005A621F"/>
    <w:rsid w:val="005D35F9"/>
    <w:rsid w:val="005D55E8"/>
    <w:rsid w:val="005D6A41"/>
    <w:rsid w:val="005F0002"/>
    <w:rsid w:val="005F4015"/>
    <w:rsid w:val="005F6092"/>
    <w:rsid w:val="00600D8F"/>
    <w:rsid w:val="00603B07"/>
    <w:rsid w:val="00605E20"/>
    <w:rsid w:val="00637AB1"/>
    <w:rsid w:val="00647C03"/>
    <w:rsid w:val="00664F7E"/>
    <w:rsid w:val="00677F94"/>
    <w:rsid w:val="00680EB9"/>
    <w:rsid w:val="00693B34"/>
    <w:rsid w:val="00695B42"/>
    <w:rsid w:val="006B7CA2"/>
    <w:rsid w:val="006F0402"/>
    <w:rsid w:val="006F36AF"/>
    <w:rsid w:val="006F5758"/>
    <w:rsid w:val="00703761"/>
    <w:rsid w:val="00707673"/>
    <w:rsid w:val="007340CC"/>
    <w:rsid w:val="00735127"/>
    <w:rsid w:val="00753D33"/>
    <w:rsid w:val="00754600"/>
    <w:rsid w:val="00763B46"/>
    <w:rsid w:val="00764BEB"/>
    <w:rsid w:val="00771FFC"/>
    <w:rsid w:val="00777FC6"/>
    <w:rsid w:val="00792B2B"/>
    <w:rsid w:val="00794EDC"/>
    <w:rsid w:val="007A6212"/>
    <w:rsid w:val="007B6B12"/>
    <w:rsid w:val="007C27CA"/>
    <w:rsid w:val="007C7278"/>
    <w:rsid w:val="007D25A7"/>
    <w:rsid w:val="007D3D6D"/>
    <w:rsid w:val="007D42F4"/>
    <w:rsid w:val="007E1CB6"/>
    <w:rsid w:val="00806E8D"/>
    <w:rsid w:val="00811C26"/>
    <w:rsid w:val="00835DD4"/>
    <w:rsid w:val="00836554"/>
    <w:rsid w:val="008448DD"/>
    <w:rsid w:val="00850C59"/>
    <w:rsid w:val="00850EF4"/>
    <w:rsid w:val="00852496"/>
    <w:rsid w:val="008921A8"/>
    <w:rsid w:val="008A795A"/>
    <w:rsid w:val="008B625C"/>
    <w:rsid w:val="008C1419"/>
    <w:rsid w:val="008C73C4"/>
    <w:rsid w:val="008D675B"/>
    <w:rsid w:val="008F418E"/>
    <w:rsid w:val="008F4B49"/>
    <w:rsid w:val="009040EC"/>
    <w:rsid w:val="00907AA5"/>
    <w:rsid w:val="00935901"/>
    <w:rsid w:val="00952D72"/>
    <w:rsid w:val="00956822"/>
    <w:rsid w:val="0096353E"/>
    <w:rsid w:val="00975883"/>
    <w:rsid w:val="00975D5B"/>
    <w:rsid w:val="009925BD"/>
    <w:rsid w:val="009950C2"/>
    <w:rsid w:val="009B229D"/>
    <w:rsid w:val="009E4C57"/>
    <w:rsid w:val="009E57D9"/>
    <w:rsid w:val="009E5C6D"/>
    <w:rsid w:val="009E784A"/>
    <w:rsid w:val="009F2CE9"/>
    <w:rsid w:val="009F2D30"/>
    <w:rsid w:val="009F35FB"/>
    <w:rsid w:val="009F5132"/>
    <w:rsid w:val="00A0355C"/>
    <w:rsid w:val="00A33CF8"/>
    <w:rsid w:val="00A43275"/>
    <w:rsid w:val="00A4510C"/>
    <w:rsid w:val="00A470A4"/>
    <w:rsid w:val="00A501D5"/>
    <w:rsid w:val="00A56168"/>
    <w:rsid w:val="00A56FF3"/>
    <w:rsid w:val="00A7035C"/>
    <w:rsid w:val="00A75EA6"/>
    <w:rsid w:val="00A80347"/>
    <w:rsid w:val="00A80858"/>
    <w:rsid w:val="00A8386F"/>
    <w:rsid w:val="00A90266"/>
    <w:rsid w:val="00A94AAE"/>
    <w:rsid w:val="00A953DC"/>
    <w:rsid w:val="00A97DA3"/>
    <w:rsid w:val="00AB558B"/>
    <w:rsid w:val="00AC5EAC"/>
    <w:rsid w:val="00AC6B9A"/>
    <w:rsid w:val="00AE4456"/>
    <w:rsid w:val="00AE7DC2"/>
    <w:rsid w:val="00AF2A40"/>
    <w:rsid w:val="00B01244"/>
    <w:rsid w:val="00B1694C"/>
    <w:rsid w:val="00B20537"/>
    <w:rsid w:val="00B41E4E"/>
    <w:rsid w:val="00B47D12"/>
    <w:rsid w:val="00B6101C"/>
    <w:rsid w:val="00B91DCD"/>
    <w:rsid w:val="00B942EC"/>
    <w:rsid w:val="00BA0653"/>
    <w:rsid w:val="00BA3A87"/>
    <w:rsid w:val="00BC708C"/>
    <w:rsid w:val="00BE1F37"/>
    <w:rsid w:val="00BE4871"/>
    <w:rsid w:val="00BF3EB3"/>
    <w:rsid w:val="00BF6520"/>
    <w:rsid w:val="00C22751"/>
    <w:rsid w:val="00C23590"/>
    <w:rsid w:val="00C259A3"/>
    <w:rsid w:val="00C31D6F"/>
    <w:rsid w:val="00C4111F"/>
    <w:rsid w:val="00C46C9A"/>
    <w:rsid w:val="00C66C2B"/>
    <w:rsid w:val="00C70802"/>
    <w:rsid w:val="00C722B5"/>
    <w:rsid w:val="00C74340"/>
    <w:rsid w:val="00C7514F"/>
    <w:rsid w:val="00C82154"/>
    <w:rsid w:val="00C873DC"/>
    <w:rsid w:val="00C8754E"/>
    <w:rsid w:val="00CA046D"/>
    <w:rsid w:val="00CA3326"/>
    <w:rsid w:val="00CC47BA"/>
    <w:rsid w:val="00CE0442"/>
    <w:rsid w:val="00D06411"/>
    <w:rsid w:val="00D07EAE"/>
    <w:rsid w:val="00D2732F"/>
    <w:rsid w:val="00D31E85"/>
    <w:rsid w:val="00D37A83"/>
    <w:rsid w:val="00D419AA"/>
    <w:rsid w:val="00D44AC8"/>
    <w:rsid w:val="00D45715"/>
    <w:rsid w:val="00D46D67"/>
    <w:rsid w:val="00D4723B"/>
    <w:rsid w:val="00D57C54"/>
    <w:rsid w:val="00D84FF7"/>
    <w:rsid w:val="00D92C15"/>
    <w:rsid w:val="00DB3FFE"/>
    <w:rsid w:val="00DC4204"/>
    <w:rsid w:val="00DD77E9"/>
    <w:rsid w:val="00DF5CE8"/>
    <w:rsid w:val="00E02F4F"/>
    <w:rsid w:val="00E04BA4"/>
    <w:rsid w:val="00E127EA"/>
    <w:rsid w:val="00E54CA0"/>
    <w:rsid w:val="00E61B26"/>
    <w:rsid w:val="00E859B8"/>
    <w:rsid w:val="00E91DBB"/>
    <w:rsid w:val="00EC0D83"/>
    <w:rsid w:val="00EC4F0E"/>
    <w:rsid w:val="00EC552C"/>
    <w:rsid w:val="00ED0863"/>
    <w:rsid w:val="00EE40AB"/>
    <w:rsid w:val="00F00BB1"/>
    <w:rsid w:val="00F03A2A"/>
    <w:rsid w:val="00F05120"/>
    <w:rsid w:val="00F07AA1"/>
    <w:rsid w:val="00F1414F"/>
    <w:rsid w:val="00F26EFA"/>
    <w:rsid w:val="00F432BF"/>
    <w:rsid w:val="00F51498"/>
    <w:rsid w:val="00F85F23"/>
    <w:rsid w:val="00F976EE"/>
    <w:rsid w:val="00FB428B"/>
    <w:rsid w:val="00FC777D"/>
    <w:rsid w:val="00FE5847"/>
    <w:rsid w:val="00FE5A71"/>
    <w:rsid w:val="00FF0FD2"/>
    <w:rsid w:val="00FF3548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CEB4"/>
  <w15:chartTrackingRefBased/>
  <w15:docId w15:val="{A1A2AED0-B31E-A14F-933E-DA800D11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C15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08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8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8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8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8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7C27C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D086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D086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D0863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D0863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D0863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D0863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D0863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D0863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ED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D086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ED08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D08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D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863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ED086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D086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D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D0863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ED086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707673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442DAA"/>
    <w:rPr>
      <w:b/>
      <w:bCs/>
    </w:rPr>
  </w:style>
  <w:style w:type="character" w:styleId="af">
    <w:name w:val="Hyperlink"/>
    <w:basedOn w:val="a0"/>
    <w:uiPriority w:val="99"/>
    <w:unhideWhenUsed/>
    <w:rsid w:val="001F773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F77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470A4"/>
    <w:rPr>
      <w:color w:val="96607D" w:themeColor="followedHyperlink"/>
      <w:u w:val="single"/>
    </w:rPr>
  </w:style>
  <w:style w:type="table" w:styleId="af2">
    <w:name w:val="Table Grid"/>
    <w:basedOn w:val="a1"/>
    <w:uiPriority w:val="39"/>
    <w:rsid w:val="005F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9E57D9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9E57D9"/>
    <w:rPr>
      <w:rFonts w:ascii="Times New Roman" w:hAnsi="Times New Roman"/>
      <w:kern w:val="0"/>
      <w:sz w:val="20"/>
      <w:szCs w:val="20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9E57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ic.ru/who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xample.com/sitemap.x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robots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AC1797-0BDF-3142-B74F-322D3CA16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1523</Words>
  <Characters>12406</Characters>
  <Application>Microsoft Office Word</Application>
  <DocSecurity>0</DocSecurity>
  <Lines>459</Lines>
  <Paragraphs>248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Никита Мясников</cp:lastModifiedBy>
  <cp:revision>244</cp:revision>
  <dcterms:created xsi:type="dcterms:W3CDTF">2026-01-02T10:54:00Z</dcterms:created>
  <dcterms:modified xsi:type="dcterms:W3CDTF">2026-09-07T18:13:00Z</dcterms:modified>
</cp:coreProperties>
</file>