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8183" w14:textId="51BB5EE6" w:rsidR="0077219E" w:rsidRDefault="0077219E" w:rsidP="00196052">
      <w:pPr>
        <w:rPr>
          <w:lang w:val="en-US"/>
        </w:rPr>
      </w:pPr>
      <w:r>
        <w:rPr>
          <w:lang w:val="en-US"/>
        </w:rPr>
        <w:t>OPIS</w:t>
      </w:r>
    </w:p>
    <w:p w14:paraId="17BE78A2" w14:textId="0309C6EF" w:rsidR="00196052" w:rsidRDefault="00196052" w:rsidP="00196052">
      <w:pPr>
        <w:rPr>
          <w:lang w:val="en-US"/>
        </w:rPr>
      </w:pPr>
      <w:r w:rsidRPr="00196052">
        <w:rPr>
          <w:lang w:val="en-US"/>
        </w:rPr>
        <w:t xml:space="preserve">The lighting fixtures </w:t>
      </w:r>
      <w:proofErr w:type="spellStart"/>
      <w:r w:rsidRPr="00196052">
        <w:rPr>
          <w:lang w:val="en-US"/>
        </w:rPr>
        <w:t>PrimeLine</w:t>
      </w:r>
      <w:proofErr w:type="spellEnd"/>
      <w:r w:rsidRPr="00196052">
        <w:rPr>
          <w:lang w:val="en-US"/>
        </w:rPr>
        <w:t xml:space="preserve"> series are designed for use in explosive hazard areas. According to the design assumptions, </w:t>
      </w:r>
      <w:proofErr w:type="spellStart"/>
      <w:r w:rsidRPr="00196052">
        <w:rPr>
          <w:lang w:val="en-US"/>
        </w:rPr>
        <w:t>PrimeLine</w:t>
      </w:r>
      <w:proofErr w:type="spellEnd"/>
      <w:r w:rsidRPr="00196052">
        <w:rPr>
          <w:lang w:val="en-US"/>
        </w:rPr>
        <w:t xml:space="preserve"> lighting fixtures are equipped with highly efficient LED light sources that perform both basic and emergency lighting functions. The product meets the essential safety requirements specified in the ATEX Directive for Group II devices of categories 2G and 2D as well as the IECEx system requirements. The design assumptions define the possibility of using the discussed lighting fixtures in both external and internal installations, as well as in Zone 1 for gas, vapor, and flammable liquid mist explosion hazards, classified under explosion groups IIA, IIB, or IIC, as well as in Zone 21 for explosive dust and fiber hazards, classified under explosion groups IIIA, IIIB, or IIIC.</w:t>
      </w:r>
    </w:p>
    <w:p w14:paraId="35246CB0" w14:textId="77777777" w:rsidR="00196052" w:rsidRPr="00196052" w:rsidRDefault="00196052" w:rsidP="00196052">
      <w:pPr>
        <w:spacing w:before="100" w:beforeAutospacing="1" w:after="100" w:afterAutospacing="1"/>
        <w:jc w:val="both"/>
        <w:rPr>
          <w:rFonts w:ascii="Arial" w:eastAsia="Times New Roman" w:hAnsi="Arial" w:cs="Arial"/>
          <w:sz w:val="22"/>
          <w:szCs w:val="22"/>
          <w:lang w:val="en-US"/>
        </w:rPr>
      </w:pPr>
      <w:r w:rsidRPr="00196052">
        <w:rPr>
          <w:rFonts w:ascii="Arial" w:eastAsia="Times New Roman" w:hAnsi="Arial" w:cs="Arial"/>
          <w:sz w:val="22"/>
          <w:szCs w:val="22"/>
          <w:lang w:val="en-US"/>
        </w:rPr>
        <w:t xml:space="preserve">  The assumed explosion protection characteristics during the design stage:</w:t>
      </w:r>
    </w:p>
    <w:p w14:paraId="516A6F42" w14:textId="77777777" w:rsidR="00196052" w:rsidRPr="00196052" w:rsidRDefault="00196052" w:rsidP="00196052">
      <w:pPr>
        <w:pStyle w:val="Akapitzlist"/>
        <w:spacing w:before="100" w:beforeAutospacing="1" w:after="100" w:afterAutospacing="1"/>
        <w:jc w:val="both"/>
        <w:rPr>
          <w:rFonts w:ascii="Arial" w:eastAsia="Times New Roman" w:hAnsi="Arial" w:cs="Arial"/>
          <w:sz w:val="22"/>
          <w:szCs w:val="22"/>
          <w:lang w:val="en-US"/>
        </w:rPr>
      </w:pPr>
      <w:r w:rsidRPr="00196052">
        <w:rPr>
          <w:rFonts w:ascii="Arial" w:eastAsia="Times New Roman" w:hAnsi="Arial" w:cs="Arial"/>
          <w:sz w:val="22"/>
          <w:szCs w:val="22"/>
          <w:lang w:val="en-US"/>
        </w:rPr>
        <w:t>• For gas, vapor, and flammable liquid mist explosion hazard zones:</w:t>
      </w:r>
    </w:p>
    <w:p w14:paraId="7B3B1036" w14:textId="77777777" w:rsidR="00196052" w:rsidRPr="00B86F9F" w:rsidRDefault="00196052" w:rsidP="00196052">
      <w:pPr>
        <w:pStyle w:val="Akapitzlist"/>
        <w:spacing w:before="100" w:beforeAutospacing="1" w:after="100" w:afterAutospacing="1"/>
        <w:jc w:val="center"/>
        <w:rPr>
          <w:rFonts w:ascii="Arial" w:eastAsia="Times New Roman" w:hAnsi="Arial" w:cs="Arial"/>
          <w:b/>
          <w:bCs/>
          <w:sz w:val="22"/>
          <w:szCs w:val="22"/>
          <w:u w:val="single"/>
          <w:lang w:val="de-DE"/>
        </w:rPr>
      </w:pPr>
      <w:r w:rsidRPr="00B86F9F">
        <w:rPr>
          <w:rFonts w:ascii="Arial" w:eastAsia="Times New Roman" w:hAnsi="Arial" w:cs="Arial"/>
          <w:b/>
          <w:bCs/>
          <w:sz w:val="22"/>
          <w:szCs w:val="22"/>
          <w:u w:val="single"/>
          <w:lang w:val="de-DE"/>
        </w:rPr>
        <w:t xml:space="preserve">Ex II 2G Ex </w:t>
      </w:r>
      <w:proofErr w:type="spellStart"/>
      <w:r w:rsidRPr="00B86F9F">
        <w:rPr>
          <w:rFonts w:ascii="Arial" w:eastAsia="Times New Roman" w:hAnsi="Arial" w:cs="Arial"/>
          <w:b/>
          <w:bCs/>
          <w:sz w:val="22"/>
          <w:szCs w:val="22"/>
          <w:u w:val="single"/>
          <w:lang w:val="de-DE"/>
        </w:rPr>
        <w:t>eb</w:t>
      </w:r>
      <w:proofErr w:type="spellEnd"/>
      <w:r w:rsidRPr="00B86F9F">
        <w:rPr>
          <w:rFonts w:ascii="Arial" w:eastAsia="Times New Roman" w:hAnsi="Arial" w:cs="Arial"/>
          <w:b/>
          <w:bCs/>
          <w:sz w:val="22"/>
          <w:szCs w:val="22"/>
          <w:u w:val="single"/>
          <w:lang w:val="de-DE"/>
        </w:rPr>
        <w:t xml:space="preserve"> </w:t>
      </w:r>
      <w:proofErr w:type="spellStart"/>
      <w:r w:rsidRPr="00B86F9F">
        <w:rPr>
          <w:rFonts w:ascii="Arial" w:eastAsia="Times New Roman" w:hAnsi="Arial" w:cs="Arial"/>
          <w:b/>
          <w:bCs/>
          <w:sz w:val="22"/>
          <w:szCs w:val="22"/>
          <w:u w:val="single"/>
          <w:lang w:val="de-DE"/>
        </w:rPr>
        <w:t>mb</w:t>
      </w:r>
      <w:proofErr w:type="spellEnd"/>
      <w:r w:rsidRPr="00B86F9F">
        <w:rPr>
          <w:rFonts w:ascii="Arial" w:eastAsia="Times New Roman" w:hAnsi="Arial" w:cs="Arial"/>
          <w:b/>
          <w:bCs/>
          <w:sz w:val="22"/>
          <w:szCs w:val="22"/>
          <w:u w:val="single"/>
          <w:lang w:val="de-DE"/>
        </w:rPr>
        <w:t xml:space="preserve"> IIC T4 </w:t>
      </w:r>
      <w:proofErr w:type="spellStart"/>
      <w:r w:rsidRPr="00B86F9F">
        <w:rPr>
          <w:rFonts w:ascii="Arial" w:eastAsia="Times New Roman" w:hAnsi="Arial" w:cs="Arial"/>
          <w:b/>
          <w:bCs/>
          <w:sz w:val="22"/>
          <w:szCs w:val="22"/>
          <w:u w:val="single"/>
          <w:lang w:val="de-DE"/>
        </w:rPr>
        <w:t>Gb</w:t>
      </w:r>
      <w:proofErr w:type="spellEnd"/>
      <w:r w:rsidRPr="00B86F9F">
        <w:rPr>
          <w:rFonts w:ascii="Arial" w:eastAsia="Times New Roman" w:hAnsi="Arial" w:cs="Arial"/>
          <w:b/>
          <w:bCs/>
          <w:sz w:val="22"/>
          <w:szCs w:val="22"/>
          <w:u w:val="single"/>
          <w:lang w:val="de-DE"/>
        </w:rPr>
        <w:t>;</w:t>
      </w:r>
    </w:p>
    <w:p w14:paraId="23E9F4A2" w14:textId="77777777" w:rsidR="00196052" w:rsidRPr="00B86F9F" w:rsidRDefault="00196052" w:rsidP="00196052">
      <w:pPr>
        <w:pStyle w:val="Akapitzlist"/>
        <w:spacing w:before="100" w:beforeAutospacing="1" w:after="100" w:afterAutospacing="1"/>
        <w:jc w:val="center"/>
        <w:rPr>
          <w:rFonts w:ascii="Arial" w:eastAsia="Times New Roman" w:hAnsi="Arial" w:cs="Arial"/>
          <w:b/>
          <w:bCs/>
          <w:sz w:val="22"/>
          <w:szCs w:val="22"/>
          <w:u w:val="single"/>
          <w:lang w:val="de-DE"/>
        </w:rPr>
      </w:pPr>
    </w:p>
    <w:p w14:paraId="615ABEFF" w14:textId="77777777" w:rsidR="00196052" w:rsidRPr="00196052" w:rsidRDefault="00196052" w:rsidP="00196052">
      <w:pPr>
        <w:pStyle w:val="Akapitzlist"/>
        <w:spacing w:before="100" w:beforeAutospacing="1" w:after="100" w:afterAutospacing="1"/>
        <w:jc w:val="center"/>
        <w:rPr>
          <w:rFonts w:ascii="Arial" w:eastAsia="Times New Roman" w:hAnsi="Arial" w:cs="Arial"/>
          <w:i/>
          <w:iCs/>
          <w:sz w:val="22"/>
          <w:szCs w:val="22"/>
          <w:lang w:val="en-US"/>
        </w:rPr>
      </w:pPr>
      <w:r w:rsidRPr="00196052">
        <w:rPr>
          <w:rFonts w:ascii="Arial" w:eastAsia="Times New Roman" w:hAnsi="Arial" w:cs="Arial"/>
          <w:i/>
          <w:iCs/>
          <w:sz w:val="22"/>
          <w:szCs w:val="22"/>
          <w:lang w:val="en-US"/>
        </w:rPr>
        <w:t>or for versions with isolator switch</w:t>
      </w:r>
    </w:p>
    <w:p w14:paraId="715E15CC" w14:textId="77777777" w:rsidR="00196052" w:rsidRPr="00B86F9F" w:rsidRDefault="00196052" w:rsidP="00196052">
      <w:pPr>
        <w:pStyle w:val="Akapitzlist"/>
        <w:spacing w:before="100" w:beforeAutospacing="1" w:after="100" w:afterAutospacing="1"/>
        <w:jc w:val="center"/>
        <w:rPr>
          <w:rFonts w:ascii="Arial" w:eastAsia="Times New Roman" w:hAnsi="Arial" w:cs="Arial"/>
          <w:b/>
          <w:bCs/>
          <w:sz w:val="22"/>
          <w:szCs w:val="22"/>
          <w:u w:val="single"/>
          <w:lang w:val="de-DE"/>
        </w:rPr>
      </w:pPr>
      <w:r w:rsidRPr="00B86F9F">
        <w:rPr>
          <w:rFonts w:ascii="Arial" w:eastAsia="Times New Roman" w:hAnsi="Arial" w:cs="Arial"/>
          <w:b/>
          <w:bCs/>
          <w:sz w:val="22"/>
          <w:szCs w:val="22"/>
          <w:u w:val="single"/>
          <w:lang w:val="de-DE"/>
        </w:rPr>
        <w:t xml:space="preserve">Ex II 2G Ex </w:t>
      </w:r>
      <w:proofErr w:type="spellStart"/>
      <w:r>
        <w:rPr>
          <w:rFonts w:ascii="Arial" w:eastAsia="Times New Roman" w:hAnsi="Arial" w:cs="Arial"/>
          <w:b/>
          <w:bCs/>
          <w:sz w:val="22"/>
          <w:szCs w:val="22"/>
          <w:u w:val="single"/>
          <w:lang w:val="de-DE"/>
        </w:rPr>
        <w:t>db</w:t>
      </w:r>
      <w:proofErr w:type="spellEnd"/>
      <w:r>
        <w:rPr>
          <w:rFonts w:ascii="Arial" w:eastAsia="Times New Roman" w:hAnsi="Arial" w:cs="Arial"/>
          <w:b/>
          <w:bCs/>
          <w:sz w:val="22"/>
          <w:szCs w:val="22"/>
          <w:u w:val="single"/>
          <w:lang w:val="de-DE"/>
        </w:rPr>
        <w:t xml:space="preserve"> </w:t>
      </w:r>
      <w:proofErr w:type="spellStart"/>
      <w:r w:rsidRPr="00B86F9F">
        <w:rPr>
          <w:rFonts w:ascii="Arial" w:eastAsia="Times New Roman" w:hAnsi="Arial" w:cs="Arial"/>
          <w:b/>
          <w:bCs/>
          <w:sz w:val="22"/>
          <w:szCs w:val="22"/>
          <w:u w:val="single"/>
          <w:lang w:val="de-DE"/>
        </w:rPr>
        <w:t>eb</w:t>
      </w:r>
      <w:proofErr w:type="spellEnd"/>
      <w:r w:rsidRPr="00B86F9F">
        <w:rPr>
          <w:rFonts w:ascii="Arial" w:eastAsia="Times New Roman" w:hAnsi="Arial" w:cs="Arial"/>
          <w:b/>
          <w:bCs/>
          <w:sz w:val="22"/>
          <w:szCs w:val="22"/>
          <w:u w:val="single"/>
          <w:lang w:val="de-DE"/>
        </w:rPr>
        <w:t xml:space="preserve"> </w:t>
      </w:r>
      <w:proofErr w:type="spellStart"/>
      <w:r w:rsidRPr="00B86F9F">
        <w:rPr>
          <w:rFonts w:ascii="Arial" w:eastAsia="Times New Roman" w:hAnsi="Arial" w:cs="Arial"/>
          <w:b/>
          <w:bCs/>
          <w:sz w:val="22"/>
          <w:szCs w:val="22"/>
          <w:u w:val="single"/>
          <w:lang w:val="de-DE"/>
        </w:rPr>
        <w:t>mb</w:t>
      </w:r>
      <w:proofErr w:type="spellEnd"/>
      <w:r w:rsidRPr="00B86F9F">
        <w:rPr>
          <w:rFonts w:ascii="Arial" w:eastAsia="Times New Roman" w:hAnsi="Arial" w:cs="Arial"/>
          <w:b/>
          <w:bCs/>
          <w:sz w:val="22"/>
          <w:szCs w:val="22"/>
          <w:u w:val="single"/>
          <w:lang w:val="de-DE"/>
        </w:rPr>
        <w:t xml:space="preserve"> IIC T4 </w:t>
      </w:r>
      <w:proofErr w:type="spellStart"/>
      <w:r w:rsidRPr="00B86F9F">
        <w:rPr>
          <w:rFonts w:ascii="Arial" w:eastAsia="Times New Roman" w:hAnsi="Arial" w:cs="Arial"/>
          <w:b/>
          <w:bCs/>
          <w:sz w:val="22"/>
          <w:szCs w:val="22"/>
          <w:u w:val="single"/>
          <w:lang w:val="de-DE"/>
        </w:rPr>
        <w:t>Gb</w:t>
      </w:r>
      <w:proofErr w:type="spellEnd"/>
      <w:r w:rsidRPr="00B86F9F">
        <w:rPr>
          <w:rFonts w:ascii="Arial" w:eastAsia="Times New Roman" w:hAnsi="Arial" w:cs="Arial"/>
          <w:b/>
          <w:bCs/>
          <w:sz w:val="22"/>
          <w:szCs w:val="22"/>
          <w:u w:val="single"/>
          <w:lang w:val="de-DE"/>
        </w:rPr>
        <w:t>;</w:t>
      </w:r>
    </w:p>
    <w:p w14:paraId="41773928" w14:textId="77777777" w:rsidR="00196052" w:rsidRPr="00B86F9F" w:rsidRDefault="00196052" w:rsidP="00196052">
      <w:pPr>
        <w:pStyle w:val="Akapitzlist"/>
        <w:spacing w:before="100" w:beforeAutospacing="1" w:after="100" w:afterAutospacing="1"/>
        <w:jc w:val="center"/>
        <w:rPr>
          <w:rFonts w:ascii="Arial" w:eastAsia="Times New Roman" w:hAnsi="Arial" w:cs="Arial"/>
          <w:b/>
          <w:bCs/>
          <w:sz w:val="22"/>
          <w:szCs w:val="22"/>
          <w:u w:val="single"/>
          <w:lang w:val="de-DE"/>
        </w:rPr>
      </w:pPr>
    </w:p>
    <w:p w14:paraId="15D88BBA" w14:textId="77777777" w:rsidR="00196052" w:rsidRPr="00196052" w:rsidRDefault="00196052" w:rsidP="00196052">
      <w:pPr>
        <w:pStyle w:val="Akapitzlist"/>
        <w:spacing w:before="100" w:beforeAutospacing="1" w:after="100" w:afterAutospacing="1"/>
        <w:jc w:val="both"/>
        <w:rPr>
          <w:rFonts w:ascii="Arial" w:eastAsia="Times New Roman" w:hAnsi="Arial" w:cs="Arial"/>
          <w:sz w:val="22"/>
          <w:szCs w:val="22"/>
          <w:lang w:val="en-US"/>
        </w:rPr>
      </w:pPr>
      <w:r w:rsidRPr="00196052">
        <w:rPr>
          <w:rFonts w:ascii="Arial" w:eastAsia="Times New Roman" w:hAnsi="Arial" w:cs="Arial"/>
          <w:sz w:val="22"/>
          <w:szCs w:val="22"/>
          <w:lang w:val="en-US"/>
        </w:rPr>
        <w:t>• For flammable dust explosion hazard zones:</w:t>
      </w:r>
    </w:p>
    <w:p w14:paraId="2F750A08" w14:textId="77777777" w:rsidR="00196052" w:rsidRPr="00196052" w:rsidRDefault="00196052" w:rsidP="00196052">
      <w:pPr>
        <w:pStyle w:val="Akapitzlist"/>
        <w:spacing w:before="100" w:beforeAutospacing="1" w:after="100" w:afterAutospacing="1"/>
        <w:jc w:val="center"/>
        <w:rPr>
          <w:rFonts w:ascii="Arial" w:eastAsia="Times New Roman" w:hAnsi="Arial" w:cs="Arial"/>
          <w:b/>
          <w:bCs/>
          <w:sz w:val="22"/>
          <w:szCs w:val="22"/>
          <w:u w:val="single"/>
          <w:lang w:val="en-US"/>
        </w:rPr>
      </w:pPr>
      <w:r w:rsidRPr="00196052">
        <w:rPr>
          <w:rFonts w:ascii="Arial" w:eastAsia="Times New Roman" w:hAnsi="Arial" w:cs="Arial"/>
          <w:b/>
          <w:bCs/>
          <w:sz w:val="22"/>
          <w:szCs w:val="22"/>
          <w:u w:val="single"/>
          <w:lang w:val="en-US"/>
        </w:rPr>
        <w:t>Ex II 2D Ex tb IIIC T70°C Db.</w:t>
      </w:r>
    </w:p>
    <w:p w14:paraId="3F979463" w14:textId="77777777" w:rsidR="00196052" w:rsidRPr="00196052" w:rsidRDefault="00196052" w:rsidP="00196052">
      <w:pPr>
        <w:rPr>
          <w:lang w:val="en-US"/>
        </w:rPr>
      </w:pPr>
    </w:p>
    <w:p w14:paraId="00187F6C" w14:textId="6CB20A83" w:rsidR="00196052" w:rsidRDefault="00196052" w:rsidP="00196052">
      <w:pPr>
        <w:rPr>
          <w:lang w:val="en-US"/>
        </w:rPr>
      </w:pPr>
      <w:proofErr w:type="spellStart"/>
      <w:r w:rsidRPr="00196052">
        <w:rPr>
          <w:lang w:val="en-US"/>
        </w:rPr>
        <w:t>PrimeLine</w:t>
      </w:r>
      <w:proofErr w:type="spellEnd"/>
      <w:r w:rsidRPr="00196052">
        <w:rPr>
          <w:lang w:val="en-US"/>
        </w:rPr>
        <w:t xml:space="preserve"> lighting fixtures are designed with "Ex </w:t>
      </w:r>
      <w:proofErr w:type="spellStart"/>
      <w:r w:rsidRPr="00196052">
        <w:rPr>
          <w:lang w:val="en-US"/>
        </w:rPr>
        <w:t>eb</w:t>
      </w:r>
      <w:proofErr w:type="spellEnd"/>
      <w:r w:rsidRPr="00196052">
        <w:rPr>
          <w:lang w:val="en-US"/>
        </w:rPr>
        <w:t xml:space="preserve">" and "Ex mb" protection for atmospheres with potentially explosive gases, </w:t>
      </w:r>
      <w:proofErr w:type="spellStart"/>
      <w:r w:rsidRPr="00196052">
        <w:rPr>
          <w:lang w:val="en-US"/>
        </w:rPr>
        <w:t>vapours</w:t>
      </w:r>
      <w:proofErr w:type="spellEnd"/>
      <w:r w:rsidRPr="00196052">
        <w:rPr>
          <w:lang w:val="en-US"/>
        </w:rPr>
        <w:t xml:space="preserve">, and flammable liquid mists, as well as protection using the "Ex tb" enclosure for atmospheres with potentially explosive flammable dusts. Considering the criteria related to the operating conditions of the device, requirements for Group II devices of categories 2G and 2D, protection level Gb (Ex </w:t>
      </w:r>
      <w:proofErr w:type="spellStart"/>
      <w:r w:rsidRPr="00196052">
        <w:rPr>
          <w:lang w:val="en-US"/>
        </w:rPr>
        <w:t>eb</w:t>
      </w:r>
      <w:proofErr w:type="spellEnd"/>
      <w:r w:rsidRPr="00196052">
        <w:rPr>
          <w:lang w:val="en-US"/>
        </w:rPr>
        <w:t>, mb), and protection level Db (Ex tb) have been applied.</w:t>
      </w:r>
    </w:p>
    <w:p w14:paraId="2D447598" w14:textId="77B1EE86" w:rsidR="00E54049" w:rsidRPr="00E54049" w:rsidRDefault="00E54049" w:rsidP="00E54049">
      <w:pPr>
        <w:rPr>
          <w:lang w:val="en-US"/>
        </w:rPr>
      </w:pPr>
      <w:r w:rsidRPr="00E54049">
        <w:rPr>
          <w:lang w:val="en-US"/>
        </w:rPr>
        <w:t>The external housing of the lighting fixtures consists of a lower housing made of polyester reinforced with fiberglass (HUP 17HB f1) and a polycarbonate diffuser (LEXAN 223 f1). The diffuser is available in three versions: transparent, frosted, and opal. The connection of these two elements is sealed with a silicone foam gasket (RAKU SIL 37-1210-4). The housing is closed/opened with stainless steel clips, preventing the housing from being opened without the use of tools.</w:t>
      </w:r>
    </w:p>
    <w:p w14:paraId="366019BE" w14:textId="77777777" w:rsidR="00E54049" w:rsidRPr="00E54049" w:rsidRDefault="00E54049" w:rsidP="00E54049">
      <w:pPr>
        <w:rPr>
          <w:lang w:val="en-US"/>
        </w:rPr>
      </w:pPr>
      <w:r w:rsidRPr="00E54049">
        <w:rPr>
          <w:lang w:val="en-US"/>
        </w:rPr>
        <w:t xml:space="preserve">External electrical cables are introduced into the housing using certified M20 or M25 cable glands. Unused openings are sealed with certified M20/M25 plugs. Considering the properties of the components that make up the external housing and its construction, the housing's ingress protection class is IP 66/67, ensuring complete protection against dust ingress and a high level of protection against liquid ingress. The </w:t>
      </w:r>
      <w:r w:rsidRPr="00E54049">
        <w:rPr>
          <w:lang w:val="en-US"/>
        </w:rPr>
        <w:lastRenderedPageBreak/>
        <w:t>housing is resistant to moisture and UV radiation, allowing it to operate in outdoor conditions. The materials used in the housing ensure high resistance to mechanical impact (7J for the body and 4J for the diffuser).</w:t>
      </w:r>
    </w:p>
    <w:p w14:paraId="4A4B631F" w14:textId="77777777" w:rsidR="00E54049" w:rsidRDefault="00E54049" w:rsidP="00E54049">
      <w:pPr>
        <w:rPr>
          <w:lang w:val="en-US"/>
        </w:rPr>
      </w:pPr>
      <w:r w:rsidRPr="00E54049">
        <w:rPr>
          <w:lang w:val="en-US"/>
        </w:rPr>
        <w:t xml:space="preserve">The fixture is made as a single-chamber device. Inside the housing, there are lower and upper frames made of powder-coated steel. The connection between the lower frames and the upper frame is made using stainless steel rivet nuts and nickel-plated, non-losing screws. Depending on the configuration of the lighting fixture, the lower frames serve as mounting locations for: cable connectors, through-wiring, LED drivers (Barel or Moons). The lower frames are attached to the GRP lower housing with plastic mounting screws. The upper frame also serves as the fixture's reflector and the mounting location for LED modules (HEX 2356-1/2/3). </w:t>
      </w:r>
      <w:proofErr w:type="spellStart"/>
      <w:r w:rsidRPr="00E54049">
        <w:rPr>
          <w:lang w:val="en-US"/>
        </w:rPr>
        <w:t>PrimeLine</w:t>
      </w:r>
      <w:proofErr w:type="spellEnd"/>
      <w:r w:rsidRPr="00E54049">
        <w:rPr>
          <w:lang w:val="en-US"/>
        </w:rPr>
        <w:t xml:space="preserve"> lighting fixtures are designed in Protection Class I for electrical shock protection. Optionally  </w:t>
      </w:r>
      <w:proofErr w:type="spellStart"/>
      <w:r w:rsidRPr="00E54049">
        <w:rPr>
          <w:lang w:val="en-US"/>
        </w:rPr>
        <w:t>PrimeLine</w:t>
      </w:r>
      <w:proofErr w:type="spellEnd"/>
      <w:r w:rsidRPr="00E54049">
        <w:rPr>
          <w:lang w:val="en-US"/>
        </w:rPr>
        <w:t xml:space="preserve"> lighting fixtures can be equipped with an isolating switch (Ex LS 32-10 2S) to disconnect the power supply to the fixture's power supply upon opening the diffuser.</w:t>
      </w:r>
    </w:p>
    <w:p w14:paraId="641D73C9" w14:textId="15B7E14F" w:rsidR="00E54049" w:rsidRPr="00E54049" w:rsidRDefault="00E54049" w:rsidP="00E54049">
      <w:pPr>
        <w:rPr>
          <w:lang w:val="en-US"/>
        </w:rPr>
      </w:pPr>
      <w:r w:rsidRPr="00E54049">
        <w:rPr>
          <w:lang w:val="en-US"/>
        </w:rPr>
        <w:t>The PE protective conductor is introduced into the housing along with the power supply cables. Internal metal elements are connected to each other and to the PE conductor, forming an internal grounding network. The external housing is made of non-conductive material, so no external grounding connection is required.</w:t>
      </w:r>
    </w:p>
    <w:p w14:paraId="6DE65212" w14:textId="77777777" w:rsidR="00E54049" w:rsidRDefault="00E54049" w:rsidP="00E54049">
      <w:pPr>
        <w:rPr>
          <w:lang w:val="en-US"/>
        </w:rPr>
      </w:pPr>
      <w:r w:rsidRPr="00E54049">
        <w:rPr>
          <w:lang w:val="en-US"/>
        </w:rPr>
        <w:t>Depending on the version, the fixture may have through-wiring that allows for connecting multiple fixtures in a circuit without the need for additional junction or patch boxes. Versions are available with single-phase through-wiring L, N, PE with a cross-section of 3x2.5 mm², as well as versions with three-phase through-wiring L3, L2, L1, N, PE with a cross-section of 5x2.5 mm². The selected wiring meets the appropriate insulation requirements and is resistant to elevated temperatures. The maximum through-current for single-phase connections is 12 A, and for three-phase connections, it is 8 A.</w:t>
      </w:r>
    </w:p>
    <w:p w14:paraId="65942CEE" w14:textId="77777777" w:rsidR="00B0512D" w:rsidRDefault="00B0512D" w:rsidP="00F967CA">
      <w:pPr>
        <w:rPr>
          <w:b/>
          <w:bCs/>
          <w:lang w:val="en-US"/>
        </w:rPr>
      </w:pPr>
    </w:p>
    <w:p w14:paraId="14D97B2C" w14:textId="705D70E2" w:rsidR="00F967CA" w:rsidRPr="00F967CA" w:rsidRDefault="00F967CA" w:rsidP="00F967CA">
      <w:pPr>
        <w:rPr>
          <w:lang w:val="en-US"/>
        </w:rPr>
      </w:pPr>
      <w:r w:rsidRPr="00F967CA">
        <w:rPr>
          <w:b/>
          <w:bCs/>
          <w:lang w:val="en-US"/>
        </w:rPr>
        <w:t xml:space="preserve">The Excel file I am sharing is a summary of the temperature test results for </w:t>
      </w:r>
      <w:r w:rsidR="0075230D">
        <w:rPr>
          <w:b/>
          <w:bCs/>
          <w:lang w:val="en-US"/>
        </w:rPr>
        <w:t xml:space="preserve">two </w:t>
      </w:r>
      <w:r w:rsidRPr="00F967CA">
        <w:rPr>
          <w:b/>
          <w:bCs/>
          <w:lang w:val="en-US"/>
        </w:rPr>
        <w:t xml:space="preserve"> </w:t>
      </w:r>
      <w:proofErr w:type="spellStart"/>
      <w:r w:rsidRPr="00F967CA">
        <w:rPr>
          <w:b/>
          <w:bCs/>
          <w:lang w:val="en-US"/>
        </w:rPr>
        <w:t>PrimeLine</w:t>
      </w:r>
      <w:proofErr w:type="spellEnd"/>
      <w:r w:rsidRPr="00F967CA">
        <w:rPr>
          <w:b/>
          <w:bCs/>
          <w:lang w:val="en-US"/>
        </w:rPr>
        <w:t xml:space="preserve"> lighting fixtures. Each worksheet contains the data summary for one luminaire. Basic information about the lighting fixture is compiled in </w:t>
      </w:r>
      <w:r w:rsidR="00366C96">
        <w:rPr>
          <w:b/>
          <w:bCs/>
          <w:lang w:val="en-US"/>
        </w:rPr>
        <w:t>first table (</w:t>
      </w:r>
      <w:r w:rsidRPr="00F967CA">
        <w:rPr>
          <w:b/>
          <w:bCs/>
          <w:lang w:val="en-US"/>
        </w:rPr>
        <w:t>rows 2 to 9</w:t>
      </w:r>
      <w:r w:rsidR="00366C96">
        <w:rPr>
          <w:b/>
          <w:bCs/>
          <w:lang w:val="en-US"/>
        </w:rPr>
        <w:t xml:space="preserve"> (parameters and values))</w:t>
      </w:r>
      <w:r w:rsidRPr="00F967CA">
        <w:rPr>
          <w:b/>
          <w:bCs/>
          <w:lang w:val="en-US"/>
        </w:rPr>
        <w:t>.</w:t>
      </w:r>
    </w:p>
    <w:p w14:paraId="0ECDA940" w14:textId="6D5FC10E" w:rsidR="00366C96" w:rsidRDefault="00F967CA" w:rsidP="00F967CA">
      <w:pPr>
        <w:rPr>
          <w:b/>
          <w:bCs/>
          <w:lang w:val="en-US"/>
        </w:rPr>
      </w:pPr>
      <w:r w:rsidRPr="00F967CA">
        <w:rPr>
          <w:b/>
          <w:bCs/>
          <w:lang w:val="en-US"/>
        </w:rPr>
        <w:t xml:space="preserve">The temperature test results for each of the luminaires are presented in tables from Table 1 to Table </w:t>
      </w:r>
      <w:r w:rsidR="00366C96">
        <w:rPr>
          <w:b/>
          <w:bCs/>
          <w:lang w:val="en-US"/>
        </w:rPr>
        <w:t>4 (tables 5-</w:t>
      </w:r>
      <w:r w:rsidRPr="00F967CA">
        <w:rPr>
          <w:b/>
          <w:bCs/>
          <w:lang w:val="en-US"/>
        </w:rPr>
        <w:t>8</w:t>
      </w:r>
      <w:r w:rsidR="00366C96">
        <w:rPr>
          <w:b/>
          <w:bCs/>
          <w:lang w:val="en-US"/>
        </w:rPr>
        <w:t xml:space="preserve"> are out of interest at the moment)</w:t>
      </w:r>
      <w:r w:rsidRPr="00F967CA">
        <w:rPr>
          <w:b/>
          <w:bCs/>
          <w:lang w:val="en-US"/>
        </w:rPr>
        <w:t xml:space="preserve">. Each table shows results at different voltages, which are specified in the </w:t>
      </w:r>
      <w:r w:rsidR="00366C96">
        <w:rPr>
          <w:b/>
          <w:bCs/>
          <w:lang w:val="en-US"/>
        </w:rPr>
        <w:t xml:space="preserve">table at </w:t>
      </w:r>
      <w:r w:rsidRPr="00F967CA">
        <w:rPr>
          <w:b/>
          <w:bCs/>
          <w:lang w:val="en-US"/>
        </w:rPr>
        <w:t>row titled “</w:t>
      </w:r>
      <w:r w:rsidR="00366C96">
        <w:rPr>
          <w:b/>
          <w:bCs/>
          <w:lang w:val="en-US"/>
        </w:rPr>
        <w:t>S</w:t>
      </w:r>
      <w:r w:rsidRPr="00F967CA">
        <w:rPr>
          <w:b/>
          <w:bCs/>
          <w:lang w:val="en-US"/>
        </w:rPr>
        <w:t xml:space="preserve">upply voltage”, where VAC refers to alternating current </w:t>
      </w:r>
      <w:r w:rsidR="00366C96">
        <w:rPr>
          <w:b/>
          <w:bCs/>
          <w:lang w:val="en-US"/>
        </w:rPr>
        <w:t xml:space="preserve">(tables 1, 2) </w:t>
      </w:r>
      <w:r w:rsidRPr="00F967CA">
        <w:rPr>
          <w:b/>
          <w:bCs/>
          <w:lang w:val="en-US"/>
        </w:rPr>
        <w:t>and VDC refers to direct current</w:t>
      </w:r>
      <w:r w:rsidR="00366C96">
        <w:rPr>
          <w:b/>
          <w:bCs/>
          <w:lang w:val="en-US"/>
        </w:rPr>
        <w:t xml:space="preserve"> (tables 3, 4)</w:t>
      </w:r>
      <w:r w:rsidRPr="00F967CA">
        <w:rPr>
          <w:b/>
          <w:bCs/>
          <w:lang w:val="en-US"/>
        </w:rPr>
        <w:t xml:space="preserve">. </w:t>
      </w:r>
    </w:p>
    <w:p w14:paraId="7656FB0E" w14:textId="534EBDA1" w:rsidR="00F967CA" w:rsidRPr="00F967CA" w:rsidRDefault="00F967CA" w:rsidP="00F967CA">
      <w:r w:rsidRPr="00F967CA">
        <w:rPr>
          <w:b/>
          <w:bCs/>
          <w:lang w:val="en-US"/>
        </w:rPr>
        <w:t xml:space="preserve">Measurement points listed in column “A” represent the locations where each component of the luminaire heats up the most during operation. A thermocouple </w:t>
      </w:r>
      <w:r w:rsidRPr="00F967CA">
        <w:rPr>
          <w:b/>
          <w:bCs/>
          <w:lang w:val="en-US"/>
        </w:rPr>
        <w:lastRenderedPageBreak/>
        <w:t xml:space="preserve">was attached to each of these points, and temperatures (°C) were recorded as a function of time (min). </w:t>
      </w:r>
      <w:proofErr w:type="spellStart"/>
      <w:r w:rsidRPr="00F967CA">
        <w:rPr>
          <w:b/>
          <w:bCs/>
        </w:rPr>
        <w:t>Below</w:t>
      </w:r>
      <w:proofErr w:type="spellEnd"/>
      <w:r w:rsidRPr="00F967CA">
        <w:rPr>
          <w:b/>
          <w:bCs/>
        </w:rPr>
        <w:t xml:space="preserve"> </w:t>
      </w:r>
      <w:proofErr w:type="spellStart"/>
      <w:r w:rsidRPr="00F967CA">
        <w:rPr>
          <w:b/>
          <w:bCs/>
        </w:rPr>
        <w:t>is</w:t>
      </w:r>
      <w:proofErr w:type="spellEnd"/>
      <w:r w:rsidRPr="00F967CA">
        <w:rPr>
          <w:b/>
          <w:bCs/>
        </w:rPr>
        <w:t xml:space="preserve"> </w:t>
      </w:r>
      <w:proofErr w:type="spellStart"/>
      <w:r w:rsidRPr="00F967CA">
        <w:rPr>
          <w:b/>
          <w:bCs/>
        </w:rPr>
        <w:t>an</w:t>
      </w:r>
      <w:proofErr w:type="spellEnd"/>
      <w:r w:rsidRPr="00F967CA">
        <w:rPr>
          <w:b/>
          <w:bCs/>
        </w:rPr>
        <w:t xml:space="preserve"> </w:t>
      </w:r>
      <w:proofErr w:type="spellStart"/>
      <w:r w:rsidRPr="00F967CA">
        <w:rPr>
          <w:b/>
          <w:bCs/>
        </w:rPr>
        <w:t>explanation</w:t>
      </w:r>
      <w:proofErr w:type="spellEnd"/>
      <w:r w:rsidRPr="00F967CA">
        <w:rPr>
          <w:b/>
          <w:bCs/>
        </w:rPr>
        <w:t xml:space="preserve"> of </w:t>
      </w:r>
      <w:proofErr w:type="spellStart"/>
      <w:r w:rsidRPr="00F967CA">
        <w:rPr>
          <w:b/>
          <w:bCs/>
        </w:rPr>
        <w:t>each</w:t>
      </w:r>
      <w:proofErr w:type="spellEnd"/>
      <w:r w:rsidRPr="00F967CA">
        <w:rPr>
          <w:b/>
          <w:bCs/>
        </w:rPr>
        <w:t xml:space="preserve"> </w:t>
      </w:r>
      <w:proofErr w:type="spellStart"/>
      <w:r w:rsidRPr="00F967CA">
        <w:rPr>
          <w:b/>
          <w:bCs/>
        </w:rPr>
        <w:t>measurement</w:t>
      </w:r>
      <w:proofErr w:type="spellEnd"/>
      <w:r w:rsidRPr="00F967CA">
        <w:rPr>
          <w:b/>
          <w:bCs/>
        </w:rPr>
        <w:t xml:space="preserve"> point </w:t>
      </w:r>
      <w:proofErr w:type="spellStart"/>
      <w:r w:rsidRPr="00F967CA">
        <w:rPr>
          <w:b/>
          <w:bCs/>
        </w:rPr>
        <w:t>name</w:t>
      </w:r>
      <w:proofErr w:type="spellEnd"/>
      <w:r w:rsidRPr="00F967CA">
        <w:rPr>
          <w:b/>
          <w:bCs/>
        </w:rPr>
        <w:t>:</w:t>
      </w:r>
    </w:p>
    <w:p w14:paraId="01EA5182" w14:textId="77777777" w:rsidR="00F967CA" w:rsidRPr="00F967CA" w:rsidRDefault="00F967CA" w:rsidP="00F967CA">
      <w:pPr>
        <w:numPr>
          <w:ilvl w:val="0"/>
          <w:numId w:val="3"/>
        </w:numPr>
        <w:rPr>
          <w:lang w:val="en-US"/>
        </w:rPr>
      </w:pPr>
      <w:r w:rsidRPr="00F967CA">
        <w:rPr>
          <w:b/>
          <w:bCs/>
          <w:lang w:val="en-US"/>
        </w:rPr>
        <w:t>T1 – driver Tc point</w:t>
      </w:r>
      <w:r w:rsidRPr="00F967CA">
        <w:rPr>
          <w:lang w:val="en-US"/>
        </w:rPr>
        <w:t xml:space="preserve"> – point where a thermocouple was attached on the surface of the driver, whose model is listed in cell B6.</w:t>
      </w:r>
    </w:p>
    <w:p w14:paraId="1545A0CD" w14:textId="77777777" w:rsidR="00F967CA" w:rsidRPr="00F967CA" w:rsidRDefault="00F967CA" w:rsidP="00F967CA">
      <w:pPr>
        <w:numPr>
          <w:ilvl w:val="0"/>
          <w:numId w:val="3"/>
        </w:numPr>
        <w:rPr>
          <w:lang w:val="en-US"/>
        </w:rPr>
      </w:pPr>
      <w:r w:rsidRPr="00F967CA">
        <w:rPr>
          <w:b/>
          <w:bCs/>
          <w:lang w:val="en-US"/>
        </w:rPr>
        <w:t>T2 – WAGO terminal</w:t>
      </w:r>
      <w:r w:rsidRPr="00F967CA">
        <w:rPr>
          <w:lang w:val="en-US"/>
        </w:rPr>
        <w:t xml:space="preserve"> – point where a thermocouple was attached to the surface of the cable connector.</w:t>
      </w:r>
    </w:p>
    <w:p w14:paraId="2B369146" w14:textId="77777777" w:rsidR="00F967CA" w:rsidRPr="00F967CA" w:rsidRDefault="00F967CA" w:rsidP="00F967CA">
      <w:pPr>
        <w:numPr>
          <w:ilvl w:val="0"/>
          <w:numId w:val="3"/>
        </w:numPr>
        <w:rPr>
          <w:lang w:val="en-US"/>
        </w:rPr>
      </w:pPr>
      <w:r w:rsidRPr="00F967CA">
        <w:rPr>
          <w:b/>
          <w:bCs/>
          <w:lang w:val="en-US"/>
        </w:rPr>
        <w:t>T3 – pass-through cables</w:t>
      </w:r>
      <w:r w:rsidRPr="00F967CA">
        <w:rPr>
          <w:lang w:val="en-US"/>
        </w:rPr>
        <w:t xml:space="preserve"> – point where a thermocouple was attached to the surface of the cables.</w:t>
      </w:r>
    </w:p>
    <w:p w14:paraId="676FE8C5" w14:textId="77777777" w:rsidR="00F967CA" w:rsidRPr="00F967CA" w:rsidRDefault="00F967CA" w:rsidP="00F967CA">
      <w:pPr>
        <w:numPr>
          <w:ilvl w:val="0"/>
          <w:numId w:val="3"/>
        </w:numPr>
        <w:rPr>
          <w:lang w:val="en-US"/>
        </w:rPr>
      </w:pPr>
      <w:r w:rsidRPr="00F967CA">
        <w:rPr>
          <w:b/>
          <w:bCs/>
          <w:lang w:val="en-US"/>
        </w:rPr>
        <w:t>T4 – cable gland</w:t>
      </w:r>
      <w:r w:rsidRPr="00F967CA">
        <w:rPr>
          <w:lang w:val="en-US"/>
        </w:rPr>
        <w:t xml:space="preserve"> – point where a thermocouple was attached to the surface of the cable gland.</w:t>
      </w:r>
    </w:p>
    <w:p w14:paraId="4B41AC33" w14:textId="446588D1" w:rsidR="00F967CA" w:rsidRPr="00F967CA" w:rsidRDefault="00F967CA" w:rsidP="00F967CA">
      <w:pPr>
        <w:numPr>
          <w:ilvl w:val="0"/>
          <w:numId w:val="3"/>
        </w:numPr>
        <w:rPr>
          <w:lang w:val="en-US"/>
        </w:rPr>
      </w:pPr>
      <w:r w:rsidRPr="00F967CA">
        <w:rPr>
          <w:b/>
          <w:bCs/>
          <w:lang w:val="en-US"/>
        </w:rPr>
        <w:t>T5 – the hottest point under encapsulant of the LED module</w:t>
      </w:r>
      <w:r w:rsidRPr="00F967CA">
        <w:rPr>
          <w:lang w:val="en-US"/>
        </w:rPr>
        <w:t xml:space="preserve"> – point where a thermocouple was attached to the surface of the LED </w:t>
      </w:r>
      <w:r w:rsidR="00B0512D">
        <w:rPr>
          <w:lang w:val="en-US"/>
        </w:rPr>
        <w:t>diode</w:t>
      </w:r>
      <w:r w:rsidRPr="00F967CA">
        <w:rPr>
          <w:lang w:val="en-US"/>
        </w:rPr>
        <w:t xml:space="preserve"> under resin encapsulation.</w:t>
      </w:r>
    </w:p>
    <w:p w14:paraId="31780A2D" w14:textId="77777777" w:rsidR="00F967CA" w:rsidRPr="00F967CA" w:rsidRDefault="00F967CA" w:rsidP="00F967CA">
      <w:pPr>
        <w:numPr>
          <w:ilvl w:val="0"/>
          <w:numId w:val="3"/>
        </w:numPr>
        <w:rPr>
          <w:lang w:val="en-US"/>
        </w:rPr>
      </w:pPr>
      <w:r w:rsidRPr="00F967CA">
        <w:rPr>
          <w:b/>
          <w:bCs/>
          <w:lang w:val="en-US"/>
        </w:rPr>
        <w:t>T6 – GRP body inside</w:t>
      </w:r>
      <w:r w:rsidRPr="00F967CA">
        <w:rPr>
          <w:lang w:val="en-US"/>
        </w:rPr>
        <w:t xml:space="preserve"> – point where a thermocouple was attached to the internal surface of the luminaire housing.</w:t>
      </w:r>
    </w:p>
    <w:p w14:paraId="652B3E88" w14:textId="77777777" w:rsidR="00F967CA" w:rsidRPr="00F967CA" w:rsidRDefault="00F967CA" w:rsidP="00F967CA">
      <w:pPr>
        <w:numPr>
          <w:ilvl w:val="0"/>
          <w:numId w:val="3"/>
        </w:numPr>
        <w:rPr>
          <w:lang w:val="en-US"/>
        </w:rPr>
      </w:pPr>
      <w:r w:rsidRPr="00F967CA">
        <w:rPr>
          <w:b/>
          <w:bCs/>
          <w:lang w:val="en-US"/>
        </w:rPr>
        <w:t>T7 – PC diffuser inside</w:t>
      </w:r>
      <w:r w:rsidRPr="00F967CA">
        <w:rPr>
          <w:lang w:val="en-US"/>
        </w:rPr>
        <w:t xml:space="preserve"> – point where a thermocouple was attached to the inner surface of the luminaire diffuser.</w:t>
      </w:r>
    </w:p>
    <w:p w14:paraId="470ACD9C" w14:textId="77777777" w:rsidR="00F967CA" w:rsidRPr="00F967CA" w:rsidRDefault="00F967CA" w:rsidP="00F967CA">
      <w:pPr>
        <w:numPr>
          <w:ilvl w:val="0"/>
          <w:numId w:val="3"/>
        </w:numPr>
        <w:rPr>
          <w:lang w:val="en-US"/>
        </w:rPr>
      </w:pPr>
      <w:r w:rsidRPr="00F967CA">
        <w:rPr>
          <w:b/>
          <w:bCs/>
          <w:lang w:val="en-US"/>
        </w:rPr>
        <w:t>T8 – LED module surface</w:t>
      </w:r>
      <w:r w:rsidRPr="00F967CA">
        <w:rPr>
          <w:lang w:val="en-US"/>
        </w:rPr>
        <w:t xml:space="preserve"> – point where a thermocouple was attached to the resin surface of the LED module.</w:t>
      </w:r>
    </w:p>
    <w:p w14:paraId="047EAA39" w14:textId="428B9151" w:rsidR="00F967CA" w:rsidRPr="00F967CA" w:rsidRDefault="00F967CA" w:rsidP="00F967CA">
      <w:pPr>
        <w:numPr>
          <w:ilvl w:val="0"/>
          <w:numId w:val="3"/>
        </w:numPr>
        <w:rPr>
          <w:lang w:val="en-US"/>
        </w:rPr>
      </w:pPr>
      <w:r w:rsidRPr="00F967CA">
        <w:rPr>
          <w:b/>
          <w:bCs/>
          <w:lang w:val="en-US"/>
        </w:rPr>
        <w:t xml:space="preserve">T9 – </w:t>
      </w:r>
      <w:r w:rsidR="00062CD1" w:rsidRPr="00062CD1">
        <w:rPr>
          <w:b/>
          <w:bCs/>
          <w:lang w:val="en-US"/>
        </w:rPr>
        <w:t>PCB terminal</w:t>
      </w:r>
      <w:r w:rsidR="00062CD1">
        <w:rPr>
          <w:lang w:val="en-US"/>
        </w:rPr>
        <w:t xml:space="preserve"> - </w:t>
      </w:r>
      <w:r w:rsidR="00062CD1" w:rsidRPr="00062CD1">
        <w:rPr>
          <w:lang w:val="en-US"/>
        </w:rPr>
        <w:t xml:space="preserve">point where </w:t>
      </w:r>
      <w:r w:rsidR="00062CD1">
        <w:rPr>
          <w:lang w:val="en-US"/>
        </w:rPr>
        <w:t xml:space="preserve">a </w:t>
      </w:r>
      <w:r w:rsidR="00062CD1" w:rsidRPr="00062CD1">
        <w:rPr>
          <w:lang w:val="en-US"/>
        </w:rPr>
        <w:t xml:space="preserve">thermocouple was attached </w:t>
      </w:r>
      <w:r w:rsidR="00062CD1">
        <w:rPr>
          <w:lang w:val="en-US"/>
        </w:rPr>
        <w:t>to</w:t>
      </w:r>
      <w:r w:rsidR="00062CD1" w:rsidRPr="00062CD1">
        <w:rPr>
          <w:lang w:val="en-US"/>
        </w:rPr>
        <w:t xml:space="preserve"> the surface of the PCB cable connector to the LED module.</w:t>
      </w:r>
    </w:p>
    <w:p w14:paraId="0A550A4D" w14:textId="77777777" w:rsidR="00F967CA" w:rsidRPr="00F967CA" w:rsidRDefault="00F967CA" w:rsidP="00F967CA">
      <w:pPr>
        <w:numPr>
          <w:ilvl w:val="0"/>
          <w:numId w:val="3"/>
        </w:numPr>
        <w:rPr>
          <w:lang w:val="en-US"/>
        </w:rPr>
      </w:pPr>
      <w:r w:rsidRPr="00F967CA">
        <w:rPr>
          <w:b/>
          <w:bCs/>
          <w:lang w:val="en-US"/>
        </w:rPr>
        <w:t>T10 – GRP body outside</w:t>
      </w:r>
      <w:r w:rsidRPr="00F967CA">
        <w:rPr>
          <w:lang w:val="en-US"/>
        </w:rPr>
        <w:t xml:space="preserve"> – point where a thermocouple was attached to the external surface of the luminaire housing.</w:t>
      </w:r>
    </w:p>
    <w:p w14:paraId="7B78EB49" w14:textId="77777777" w:rsidR="00F967CA" w:rsidRPr="00F967CA" w:rsidRDefault="00F967CA" w:rsidP="00F967CA">
      <w:pPr>
        <w:numPr>
          <w:ilvl w:val="0"/>
          <w:numId w:val="3"/>
        </w:numPr>
        <w:rPr>
          <w:lang w:val="en-US"/>
        </w:rPr>
      </w:pPr>
      <w:r w:rsidRPr="00F967CA">
        <w:rPr>
          <w:b/>
          <w:bCs/>
          <w:lang w:val="en-US"/>
        </w:rPr>
        <w:t>T11 – PC diffuser outside</w:t>
      </w:r>
      <w:r w:rsidRPr="00F967CA">
        <w:rPr>
          <w:lang w:val="en-US"/>
        </w:rPr>
        <w:t xml:space="preserve"> – point where a thermocouple was attached to the outer surface of the luminaire diffuser.</w:t>
      </w:r>
    </w:p>
    <w:p w14:paraId="68E73C03" w14:textId="77777777" w:rsidR="00F967CA" w:rsidRPr="00F967CA" w:rsidRDefault="00F967CA" w:rsidP="00F967CA">
      <w:pPr>
        <w:numPr>
          <w:ilvl w:val="0"/>
          <w:numId w:val="3"/>
        </w:numPr>
        <w:rPr>
          <w:lang w:val="en-US"/>
        </w:rPr>
      </w:pPr>
      <w:r w:rsidRPr="00F967CA">
        <w:rPr>
          <w:b/>
          <w:bCs/>
          <w:lang w:val="en-US"/>
        </w:rPr>
        <w:t>T12 – ambient temp. outside</w:t>
      </w:r>
      <w:r w:rsidRPr="00F967CA">
        <w:rPr>
          <w:lang w:val="en-US"/>
        </w:rPr>
        <w:t xml:space="preserve"> – ambient temperature read from a thermometer at the time of testing.</w:t>
      </w:r>
    </w:p>
    <w:p w14:paraId="09F63FE5" w14:textId="77777777" w:rsidR="00F967CA" w:rsidRPr="00F967CA" w:rsidRDefault="00F967CA" w:rsidP="00F967CA">
      <w:pPr>
        <w:rPr>
          <w:lang w:val="en-US"/>
        </w:rPr>
      </w:pPr>
      <w:r w:rsidRPr="00F967CA">
        <w:rPr>
          <w:b/>
          <w:bCs/>
          <w:lang w:val="en-US"/>
        </w:rPr>
        <w:t>The tests were conducted in accordance with the following standards:</w:t>
      </w:r>
    </w:p>
    <w:p w14:paraId="46FDF0E2" w14:textId="77777777" w:rsidR="00F967CA" w:rsidRPr="00F967CA" w:rsidRDefault="00F967CA" w:rsidP="00F967CA">
      <w:pPr>
        <w:numPr>
          <w:ilvl w:val="0"/>
          <w:numId w:val="4"/>
        </w:numPr>
        <w:rPr>
          <w:lang w:val="en-US"/>
        </w:rPr>
      </w:pPr>
      <w:r w:rsidRPr="00F967CA">
        <w:rPr>
          <w:b/>
          <w:bCs/>
          <w:lang w:val="en-US"/>
        </w:rPr>
        <w:t>IEC 60079-0</w:t>
      </w:r>
      <w:r w:rsidRPr="00F967CA">
        <w:rPr>
          <w:lang w:val="en-US"/>
        </w:rPr>
        <w:t xml:space="preserve"> – Explosive atmospheres – Part 0: Equipment – Basic requirements – Clause 26.5.1</w:t>
      </w:r>
    </w:p>
    <w:p w14:paraId="170EECE4" w14:textId="77777777" w:rsidR="00F967CA" w:rsidRPr="00F967CA" w:rsidRDefault="00F967CA" w:rsidP="00F967CA">
      <w:pPr>
        <w:numPr>
          <w:ilvl w:val="0"/>
          <w:numId w:val="4"/>
        </w:numPr>
        <w:rPr>
          <w:lang w:val="en-US"/>
        </w:rPr>
      </w:pPr>
      <w:r w:rsidRPr="00F967CA">
        <w:rPr>
          <w:b/>
          <w:bCs/>
          <w:lang w:val="en-US"/>
        </w:rPr>
        <w:t>IEC 60079-7</w:t>
      </w:r>
      <w:r w:rsidRPr="00F967CA">
        <w:rPr>
          <w:lang w:val="en-US"/>
        </w:rPr>
        <w:t xml:space="preserve"> – Explosive atmospheres – Part 7: Equipment protection by increased safety "e" – Clause 5.3.7</w:t>
      </w:r>
    </w:p>
    <w:p w14:paraId="32A291B0" w14:textId="77777777" w:rsidR="00F967CA" w:rsidRPr="00F967CA" w:rsidRDefault="00F967CA" w:rsidP="00F967CA">
      <w:pPr>
        <w:numPr>
          <w:ilvl w:val="0"/>
          <w:numId w:val="4"/>
        </w:numPr>
        <w:rPr>
          <w:lang w:val="en-US"/>
        </w:rPr>
      </w:pPr>
      <w:r w:rsidRPr="00F967CA">
        <w:rPr>
          <w:b/>
          <w:bCs/>
          <w:lang w:val="en-US"/>
        </w:rPr>
        <w:lastRenderedPageBreak/>
        <w:t>IEC 60079-18</w:t>
      </w:r>
      <w:r w:rsidRPr="00F967CA">
        <w:rPr>
          <w:lang w:val="en-US"/>
        </w:rPr>
        <w:t xml:space="preserve"> – Explosive atmospheres – Part 18: Protection of equipment by encapsulation "m" – Clauses 6.2.1, 6.2.2, 8.2.2</w:t>
      </w:r>
    </w:p>
    <w:p w14:paraId="21BBE2E2" w14:textId="77777777" w:rsidR="00F967CA" w:rsidRDefault="00F967CA" w:rsidP="00F967CA">
      <w:pPr>
        <w:numPr>
          <w:ilvl w:val="0"/>
          <w:numId w:val="4"/>
        </w:numPr>
        <w:rPr>
          <w:lang w:val="en-US"/>
        </w:rPr>
      </w:pPr>
      <w:r w:rsidRPr="00F967CA">
        <w:rPr>
          <w:b/>
          <w:bCs/>
          <w:lang w:val="en-US"/>
        </w:rPr>
        <w:t>IEC 60079-31</w:t>
      </w:r>
      <w:r w:rsidRPr="00F967CA">
        <w:rPr>
          <w:lang w:val="en-US"/>
        </w:rPr>
        <w:t xml:space="preserve"> – Explosive atmospheres – Part 31: Equipment dust ignition protection by enclosure "t" – Clause 6.1.2</w:t>
      </w:r>
    </w:p>
    <w:p w14:paraId="39387D35" w14:textId="19E5F733" w:rsidR="00366C96" w:rsidRPr="00F967CA" w:rsidRDefault="00366C96" w:rsidP="00366C96">
      <w:pPr>
        <w:ind w:left="360"/>
        <w:rPr>
          <w:lang w:val="en-US"/>
        </w:rPr>
      </w:pPr>
      <w:r>
        <w:rPr>
          <w:b/>
          <w:bCs/>
          <w:lang w:val="en-US"/>
        </w:rPr>
        <w:t>Task</w:t>
      </w:r>
      <w:r w:rsidRPr="00366C96">
        <w:rPr>
          <w:lang w:val="en-US"/>
        </w:rPr>
        <w:t>:</w:t>
      </w:r>
    </w:p>
    <w:p w14:paraId="429E8554" w14:textId="473BBD21" w:rsidR="00E54049" w:rsidRDefault="00F967CA" w:rsidP="00F967CA">
      <w:pPr>
        <w:pStyle w:val="Akapitzlist"/>
        <w:numPr>
          <w:ilvl w:val="0"/>
          <w:numId w:val="5"/>
        </w:numPr>
        <w:rPr>
          <w:lang w:val="en-US"/>
        </w:rPr>
      </w:pPr>
      <w:r w:rsidRPr="00F967CA">
        <w:rPr>
          <w:lang w:val="en-US"/>
        </w:rPr>
        <w:t xml:space="preserve">Based on the information above </w:t>
      </w:r>
      <w:r w:rsidR="00E809CD">
        <w:rPr>
          <w:lang w:val="en-US"/>
        </w:rPr>
        <w:t>c</w:t>
      </w:r>
      <w:r w:rsidR="00E809CD" w:rsidRPr="00E809CD">
        <w:rPr>
          <w:lang w:val="en-US"/>
        </w:rPr>
        <w:t>ompare</w:t>
      </w:r>
      <w:r w:rsidR="00E809CD">
        <w:rPr>
          <w:lang w:val="en-US"/>
        </w:rPr>
        <w:t xml:space="preserve"> data in the</w:t>
      </w:r>
      <w:r w:rsidR="00E809CD" w:rsidRPr="00E809CD">
        <w:rPr>
          <w:lang w:val="en-US"/>
        </w:rPr>
        <w:t xml:space="preserve"> tables T1 to T4 in the sheets named “12-2 345SOT M HEX3 T50” and “12 345SOT HEX 3 T55” and identify any discrepancies, deviations, and significant differences between the data in the tables</w:t>
      </w:r>
      <w:r w:rsidR="001E0B36">
        <w:rPr>
          <w:lang w:val="en-US"/>
        </w:rPr>
        <w:t xml:space="preserve"> </w:t>
      </w:r>
      <w:r w:rsidR="001E0B36" w:rsidRPr="00366C96">
        <w:rPr>
          <w:b/>
          <w:bCs/>
          <w:lang w:val="en-US"/>
        </w:rPr>
        <w:t xml:space="preserve">(higher than </w:t>
      </w:r>
      <w:r w:rsidR="00366C96" w:rsidRPr="00366C96">
        <w:rPr>
          <w:b/>
          <w:bCs/>
          <w:lang w:val="en-US"/>
        </w:rPr>
        <w:t>3</w:t>
      </w:r>
      <w:r w:rsidR="001E0B36" w:rsidRPr="00366C96">
        <w:rPr>
          <w:b/>
          <w:bCs/>
          <w:vertAlign w:val="superscript"/>
          <w:lang w:val="en-US"/>
        </w:rPr>
        <w:t>o</w:t>
      </w:r>
      <w:r w:rsidR="001E0B36" w:rsidRPr="00366C96">
        <w:rPr>
          <w:b/>
          <w:bCs/>
          <w:lang w:val="en-US"/>
        </w:rPr>
        <w:t>C)</w:t>
      </w:r>
      <w:r w:rsidR="00E809CD" w:rsidRPr="00366C96">
        <w:rPr>
          <w:b/>
          <w:bCs/>
          <w:lang w:val="en-US"/>
        </w:rPr>
        <w:t>.</w:t>
      </w:r>
      <w:r w:rsidR="00E809CD" w:rsidRPr="00E809CD">
        <w:rPr>
          <w:lang w:val="en-US"/>
        </w:rPr>
        <w:t xml:space="preserve"> If possible, also point out any data that appears to be physically impossible</w:t>
      </w:r>
      <w:r w:rsidR="00366C96">
        <w:rPr>
          <w:lang w:val="en-US"/>
        </w:rPr>
        <w:t xml:space="preserve"> (revert to standards)</w:t>
      </w:r>
      <w:r w:rsidR="00E809CD" w:rsidRPr="00E809CD">
        <w:rPr>
          <w:lang w:val="en-US"/>
        </w:rPr>
        <w:t>.</w:t>
      </w:r>
    </w:p>
    <w:p w14:paraId="7709ED61" w14:textId="77777777" w:rsidR="00E809CD" w:rsidRPr="00F967CA" w:rsidRDefault="00E809CD" w:rsidP="00E809CD">
      <w:pPr>
        <w:pStyle w:val="Akapitzlist"/>
        <w:rPr>
          <w:lang w:val="en-US"/>
        </w:rPr>
      </w:pPr>
    </w:p>
    <w:p w14:paraId="489F330A" w14:textId="5D7BAA5C" w:rsidR="00F967CA" w:rsidRPr="00F967CA" w:rsidRDefault="00F967CA" w:rsidP="00F967CA">
      <w:pPr>
        <w:pStyle w:val="Akapitzlist"/>
        <w:numPr>
          <w:ilvl w:val="0"/>
          <w:numId w:val="5"/>
        </w:numPr>
        <w:rPr>
          <w:lang w:val="en-US"/>
        </w:rPr>
      </w:pPr>
      <w:r w:rsidRPr="00F967CA">
        <w:rPr>
          <w:lang w:val="en-US"/>
        </w:rPr>
        <w:t>The service temperature Ts is determined by calculating the difference between the values for each of the measurement points T1–T11 and the T12 – ambient temp. outside.</w:t>
      </w:r>
    </w:p>
    <w:p w14:paraId="1E75D5FC" w14:textId="52D9FC8C" w:rsidR="00F967CA" w:rsidRPr="00F967CA" w:rsidRDefault="00F967CA" w:rsidP="00F967CA">
      <w:pPr>
        <w:numPr>
          <w:ilvl w:val="0"/>
          <w:numId w:val="6"/>
        </w:numPr>
        <w:rPr>
          <w:lang w:val="en-US"/>
        </w:rPr>
      </w:pPr>
      <w:r w:rsidRPr="00F967CA">
        <w:rPr>
          <w:lang w:val="en-US"/>
        </w:rPr>
        <w:t xml:space="preserve">If the data shows an </w:t>
      </w:r>
      <w:r w:rsidRPr="00F967CA">
        <w:rPr>
          <w:b/>
          <w:bCs/>
          <w:lang w:val="en-US"/>
        </w:rPr>
        <w:t>increasing trend</w:t>
      </w:r>
      <w:r w:rsidRPr="00F967CA">
        <w:rPr>
          <w:lang w:val="en-US"/>
        </w:rPr>
        <w:t xml:space="preserve">, </w:t>
      </w:r>
      <w:r w:rsidR="00062CD1">
        <w:rPr>
          <w:lang w:val="en-US"/>
        </w:rPr>
        <w:t>t</w:t>
      </w:r>
      <w:r w:rsidR="00062CD1" w:rsidRPr="00F967CA">
        <w:rPr>
          <w:lang w:val="en-US"/>
        </w:rPr>
        <w:t xml:space="preserve">he service temperature </w:t>
      </w:r>
      <w:r w:rsidRPr="00F967CA">
        <w:rPr>
          <w:lang w:val="en-US"/>
        </w:rPr>
        <w:t xml:space="preserve">Ts is the </w:t>
      </w:r>
      <w:r w:rsidRPr="00F967CA">
        <w:rPr>
          <w:b/>
          <w:bCs/>
          <w:lang w:val="en-US"/>
        </w:rPr>
        <w:t>highest</w:t>
      </w:r>
      <w:r w:rsidRPr="00F967CA">
        <w:rPr>
          <w:lang w:val="en-US"/>
        </w:rPr>
        <w:t xml:space="preserve"> temperature difference between each measurement point and T12.</w:t>
      </w:r>
      <w:r w:rsidR="00BE366F">
        <w:rPr>
          <w:lang w:val="en-US"/>
        </w:rPr>
        <w:t xml:space="preserve"> </w:t>
      </w:r>
      <w:r w:rsidR="00BE366F" w:rsidRPr="00BE366F">
        <w:rPr>
          <w:lang w:val="en-US"/>
        </w:rPr>
        <w:t>Please create a chart to visualize this trend and the temperature differences.</w:t>
      </w:r>
    </w:p>
    <w:p w14:paraId="299EE5BC" w14:textId="7956185E" w:rsidR="00F967CA" w:rsidRPr="00F967CA" w:rsidRDefault="00F967CA" w:rsidP="00F967CA">
      <w:pPr>
        <w:numPr>
          <w:ilvl w:val="0"/>
          <w:numId w:val="6"/>
        </w:numPr>
        <w:rPr>
          <w:lang w:val="en-US"/>
        </w:rPr>
      </w:pPr>
      <w:r w:rsidRPr="00F967CA">
        <w:rPr>
          <w:lang w:val="en-US"/>
        </w:rPr>
        <w:t xml:space="preserve">If the data shows a </w:t>
      </w:r>
      <w:r w:rsidRPr="00F967CA">
        <w:rPr>
          <w:b/>
          <w:bCs/>
          <w:lang w:val="en-US"/>
        </w:rPr>
        <w:t>decreasing trend</w:t>
      </w:r>
      <w:r w:rsidRPr="00F967CA">
        <w:rPr>
          <w:lang w:val="en-US"/>
        </w:rPr>
        <w:t>, then</w:t>
      </w:r>
      <w:r w:rsidR="00062CD1">
        <w:rPr>
          <w:lang w:val="en-US"/>
        </w:rPr>
        <w:t xml:space="preserve"> t</w:t>
      </w:r>
      <w:r w:rsidR="00062CD1" w:rsidRPr="00F967CA">
        <w:rPr>
          <w:lang w:val="en-US"/>
        </w:rPr>
        <w:t>he service temperature</w:t>
      </w:r>
      <w:r w:rsidRPr="00F967CA">
        <w:rPr>
          <w:lang w:val="en-US"/>
        </w:rPr>
        <w:t xml:space="preserve"> Ts is the </w:t>
      </w:r>
      <w:r w:rsidRPr="00F967CA">
        <w:rPr>
          <w:b/>
          <w:bCs/>
          <w:lang w:val="en-US"/>
        </w:rPr>
        <w:t>lowest</w:t>
      </w:r>
      <w:r w:rsidRPr="00F967CA">
        <w:rPr>
          <w:lang w:val="en-US"/>
        </w:rPr>
        <w:t xml:space="preserve"> temperature difference between each point and T12.</w:t>
      </w:r>
      <w:r w:rsidR="00BE366F">
        <w:rPr>
          <w:lang w:val="en-US"/>
        </w:rPr>
        <w:t xml:space="preserve"> </w:t>
      </w:r>
      <w:r w:rsidR="00BE366F" w:rsidRPr="00BE366F">
        <w:rPr>
          <w:lang w:val="en-US"/>
        </w:rPr>
        <w:t>Please create a chart to visualize this trend and the temperature differences.</w:t>
      </w:r>
    </w:p>
    <w:p w14:paraId="4FE0382F" w14:textId="7D813671" w:rsidR="00F967CA" w:rsidRPr="00CE54E8" w:rsidRDefault="00F967CA" w:rsidP="00CE54E8">
      <w:pPr>
        <w:pStyle w:val="Akapitzlist"/>
        <w:numPr>
          <w:ilvl w:val="0"/>
          <w:numId w:val="5"/>
        </w:numPr>
        <w:rPr>
          <w:lang w:val="en-US"/>
        </w:rPr>
      </w:pPr>
      <w:r w:rsidRPr="00CE54E8">
        <w:rPr>
          <w:lang w:val="en-US"/>
        </w:rPr>
        <w:t xml:space="preserve">To determine </w:t>
      </w:r>
      <w:r w:rsidRPr="00CE54E8">
        <w:rPr>
          <w:b/>
          <w:bCs/>
          <w:lang w:val="en-US"/>
        </w:rPr>
        <w:t>Ts at the maximum allowed ambient temperature</w:t>
      </w:r>
      <w:r w:rsidRPr="00CE54E8">
        <w:rPr>
          <w:lang w:val="en-US"/>
        </w:rPr>
        <w:t xml:space="preserve"> for each measurement point, you must </w:t>
      </w:r>
      <w:r w:rsidRPr="00CE54E8">
        <w:rPr>
          <w:b/>
          <w:bCs/>
          <w:lang w:val="en-US"/>
        </w:rPr>
        <w:t>add</w:t>
      </w:r>
      <w:r w:rsidRPr="00CE54E8">
        <w:rPr>
          <w:lang w:val="en-US"/>
        </w:rPr>
        <w:t xml:space="preserve"> the difference between the </w:t>
      </w:r>
      <w:r w:rsidRPr="00CE54E8">
        <w:rPr>
          <w:b/>
          <w:bCs/>
          <w:lang w:val="en-US"/>
        </w:rPr>
        <w:t>maximum allowed ambient temperature</w:t>
      </w:r>
      <w:r w:rsidRPr="00CE54E8">
        <w:rPr>
          <w:lang w:val="en-US"/>
        </w:rPr>
        <w:t xml:space="preserve"> (listed in cell B9) and the </w:t>
      </w:r>
      <w:r w:rsidRPr="00CE54E8">
        <w:rPr>
          <w:b/>
          <w:bCs/>
          <w:lang w:val="en-US"/>
        </w:rPr>
        <w:t>T12 value</w:t>
      </w:r>
      <w:r w:rsidRPr="00CE54E8">
        <w:rPr>
          <w:lang w:val="en-US"/>
        </w:rPr>
        <w:t xml:space="preserve"> at which Ts was originally calculated.</w:t>
      </w:r>
    </w:p>
    <w:p w14:paraId="527BA16C" w14:textId="45C89244" w:rsidR="00F967CA" w:rsidRDefault="00F967CA" w:rsidP="00E809CD">
      <w:pPr>
        <w:ind w:left="360"/>
        <w:rPr>
          <w:lang w:val="en-US"/>
        </w:rPr>
      </w:pPr>
      <w:r w:rsidRPr="00F967CA">
        <w:rPr>
          <w:b/>
          <w:bCs/>
          <w:lang w:val="en-US"/>
        </w:rPr>
        <w:t>Based on the data in Tables 1 to 4</w:t>
      </w:r>
      <w:r w:rsidR="00CE54E8">
        <w:rPr>
          <w:b/>
          <w:bCs/>
          <w:lang w:val="en-US"/>
        </w:rPr>
        <w:t xml:space="preserve"> (for both cases) </w:t>
      </w:r>
      <w:r w:rsidRPr="00F967CA">
        <w:rPr>
          <w:lang w:val="en-US"/>
        </w:rPr>
        <w:t xml:space="preserve">, please calculate </w:t>
      </w:r>
      <w:r w:rsidRPr="00F967CA">
        <w:rPr>
          <w:b/>
          <w:bCs/>
          <w:lang w:val="en-US"/>
        </w:rPr>
        <w:t>Ts</w:t>
      </w:r>
      <w:r w:rsidRPr="00F967CA">
        <w:rPr>
          <w:lang w:val="en-US"/>
        </w:rPr>
        <w:t xml:space="preserve"> for each measurement point at the </w:t>
      </w:r>
      <w:r w:rsidRPr="00F967CA">
        <w:rPr>
          <w:b/>
          <w:bCs/>
          <w:lang w:val="en-US"/>
        </w:rPr>
        <w:t>maximum allowed ambient temperature</w:t>
      </w:r>
      <w:r w:rsidRPr="00F967CA">
        <w:rPr>
          <w:lang w:val="en-US"/>
        </w:rPr>
        <w:t>.</w:t>
      </w:r>
    </w:p>
    <w:p w14:paraId="6DF9B872" w14:textId="77777777" w:rsidR="00E809CD" w:rsidRDefault="00E809CD" w:rsidP="00E809CD">
      <w:pPr>
        <w:ind w:left="360"/>
        <w:rPr>
          <w:lang w:val="en-US"/>
        </w:rPr>
      </w:pPr>
    </w:p>
    <w:sectPr w:rsidR="00E809C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285F7" w14:textId="77777777" w:rsidR="00FF6237" w:rsidRDefault="00FF6237" w:rsidP="000A4EED">
      <w:pPr>
        <w:spacing w:after="0" w:line="240" w:lineRule="auto"/>
      </w:pPr>
      <w:r>
        <w:separator/>
      </w:r>
    </w:p>
  </w:endnote>
  <w:endnote w:type="continuationSeparator" w:id="0">
    <w:p w14:paraId="4EF7AD1B" w14:textId="77777777" w:rsidR="00FF6237" w:rsidRDefault="00FF6237" w:rsidP="000A4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D9276" w14:textId="77777777" w:rsidR="00FF6237" w:rsidRDefault="00FF6237" w:rsidP="000A4EED">
      <w:pPr>
        <w:spacing w:after="0" w:line="240" w:lineRule="auto"/>
      </w:pPr>
      <w:r>
        <w:separator/>
      </w:r>
    </w:p>
  </w:footnote>
  <w:footnote w:type="continuationSeparator" w:id="0">
    <w:p w14:paraId="0EDFCCC2" w14:textId="77777777" w:rsidR="00FF6237" w:rsidRDefault="00FF6237" w:rsidP="000A4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650C8"/>
    <w:multiLevelType w:val="hybridMultilevel"/>
    <w:tmpl w:val="889C5540"/>
    <w:lvl w:ilvl="0" w:tplc="0F0EFD46">
      <w:start w:val="1"/>
      <w:numFmt w:val="decimal"/>
      <w:lvlText w:val="%1."/>
      <w:lvlJc w:val="left"/>
      <w:pPr>
        <w:ind w:left="720" w:hanging="360"/>
      </w:pPr>
      <w:rPr>
        <w:rFonts w:asciiTheme="minorHAnsi" w:eastAsiaTheme="minorHAnsi" w:hAnsiTheme="minorHAnsi" w:cstheme="minorBid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F8D48DE"/>
    <w:multiLevelType w:val="hybridMultilevel"/>
    <w:tmpl w:val="7BD6663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9B43621"/>
    <w:multiLevelType w:val="multilevel"/>
    <w:tmpl w:val="ABC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F4090"/>
    <w:multiLevelType w:val="hybridMultilevel"/>
    <w:tmpl w:val="6DEA2502"/>
    <w:lvl w:ilvl="0" w:tplc="0415000F">
      <w:start w:val="1"/>
      <w:numFmt w:val="decimal"/>
      <w:lvlText w:val="%1."/>
      <w:lvlJc w:val="left"/>
      <w:pPr>
        <w:ind w:left="720" w:hanging="360"/>
      </w:pPr>
      <w:rPr>
        <w:rFonts w:eastAsia="Times New Roman" w:hint="default"/>
        <w:color w:val="auto"/>
        <w:sz w:val="2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77A373CC"/>
    <w:multiLevelType w:val="multilevel"/>
    <w:tmpl w:val="4A6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016F4"/>
    <w:multiLevelType w:val="multilevel"/>
    <w:tmpl w:val="6C4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955701">
    <w:abstractNumId w:val="3"/>
  </w:num>
  <w:num w:numId="2" w16cid:durableId="1507089811">
    <w:abstractNumId w:val="1"/>
  </w:num>
  <w:num w:numId="3" w16cid:durableId="202643824">
    <w:abstractNumId w:val="5"/>
  </w:num>
  <w:num w:numId="4" w16cid:durableId="237793011">
    <w:abstractNumId w:val="2"/>
  </w:num>
  <w:num w:numId="5" w16cid:durableId="731540528">
    <w:abstractNumId w:val="0"/>
  </w:num>
  <w:num w:numId="6" w16cid:durableId="1333013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DE"/>
    <w:rsid w:val="00053155"/>
    <w:rsid w:val="00062CD1"/>
    <w:rsid w:val="00071EF1"/>
    <w:rsid w:val="000A4EED"/>
    <w:rsid w:val="000D3B12"/>
    <w:rsid w:val="00114012"/>
    <w:rsid w:val="00135F6E"/>
    <w:rsid w:val="00196052"/>
    <w:rsid w:val="001E0B36"/>
    <w:rsid w:val="002473D2"/>
    <w:rsid w:val="00295356"/>
    <w:rsid w:val="002F7CFC"/>
    <w:rsid w:val="00366C96"/>
    <w:rsid w:val="00383A35"/>
    <w:rsid w:val="003E1E05"/>
    <w:rsid w:val="00416D27"/>
    <w:rsid w:val="004841AF"/>
    <w:rsid w:val="004B7E38"/>
    <w:rsid w:val="00537FDE"/>
    <w:rsid w:val="005A3810"/>
    <w:rsid w:val="006570FC"/>
    <w:rsid w:val="006770D5"/>
    <w:rsid w:val="00734678"/>
    <w:rsid w:val="0075230D"/>
    <w:rsid w:val="0077219E"/>
    <w:rsid w:val="00867924"/>
    <w:rsid w:val="00953A00"/>
    <w:rsid w:val="00B0512D"/>
    <w:rsid w:val="00B82A71"/>
    <w:rsid w:val="00BE366F"/>
    <w:rsid w:val="00CE54E8"/>
    <w:rsid w:val="00D47E4E"/>
    <w:rsid w:val="00E25FD1"/>
    <w:rsid w:val="00E54049"/>
    <w:rsid w:val="00E809CD"/>
    <w:rsid w:val="00EE49EF"/>
    <w:rsid w:val="00F03F23"/>
    <w:rsid w:val="00F821E5"/>
    <w:rsid w:val="00F967CA"/>
    <w:rsid w:val="00FD5B70"/>
    <w:rsid w:val="00FF623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ABD9"/>
  <w15:chartTrackingRefBased/>
  <w15:docId w15:val="{9ABF05EC-4C6D-42C2-A894-ABFFF6D5C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537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37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37FD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37FD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37FD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37FD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37FD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37FD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37FD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37FD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37FD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37FD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37FD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37FD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37FD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37FD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37FD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37FDE"/>
    <w:rPr>
      <w:rFonts w:eastAsiaTheme="majorEastAsia" w:cstheme="majorBidi"/>
      <w:color w:val="272727" w:themeColor="text1" w:themeTint="D8"/>
    </w:rPr>
  </w:style>
  <w:style w:type="paragraph" w:styleId="Tytu">
    <w:name w:val="Title"/>
    <w:basedOn w:val="Normalny"/>
    <w:next w:val="Normalny"/>
    <w:link w:val="TytuZnak"/>
    <w:uiPriority w:val="10"/>
    <w:qFormat/>
    <w:rsid w:val="0053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37FD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37FD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37FD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37FDE"/>
    <w:pPr>
      <w:spacing w:before="160"/>
      <w:jc w:val="center"/>
    </w:pPr>
    <w:rPr>
      <w:i/>
      <w:iCs/>
      <w:color w:val="404040" w:themeColor="text1" w:themeTint="BF"/>
    </w:rPr>
  </w:style>
  <w:style w:type="character" w:customStyle="1" w:styleId="CytatZnak">
    <w:name w:val="Cytat Znak"/>
    <w:basedOn w:val="Domylnaczcionkaakapitu"/>
    <w:link w:val="Cytat"/>
    <w:uiPriority w:val="29"/>
    <w:rsid w:val="00537FDE"/>
    <w:rPr>
      <w:i/>
      <w:iCs/>
      <w:color w:val="404040" w:themeColor="text1" w:themeTint="BF"/>
    </w:rPr>
  </w:style>
  <w:style w:type="paragraph" w:styleId="Akapitzlist">
    <w:name w:val="List Paragraph"/>
    <w:basedOn w:val="Normalny"/>
    <w:uiPriority w:val="34"/>
    <w:qFormat/>
    <w:rsid w:val="00537FDE"/>
    <w:pPr>
      <w:ind w:left="720"/>
      <w:contextualSpacing/>
    </w:pPr>
  </w:style>
  <w:style w:type="character" w:styleId="Wyrnienieintensywne">
    <w:name w:val="Intense Emphasis"/>
    <w:basedOn w:val="Domylnaczcionkaakapitu"/>
    <w:uiPriority w:val="21"/>
    <w:qFormat/>
    <w:rsid w:val="00537FDE"/>
    <w:rPr>
      <w:i/>
      <w:iCs/>
      <w:color w:val="0F4761" w:themeColor="accent1" w:themeShade="BF"/>
    </w:rPr>
  </w:style>
  <w:style w:type="paragraph" w:styleId="Cytatintensywny">
    <w:name w:val="Intense Quote"/>
    <w:basedOn w:val="Normalny"/>
    <w:next w:val="Normalny"/>
    <w:link w:val="CytatintensywnyZnak"/>
    <w:uiPriority w:val="30"/>
    <w:qFormat/>
    <w:rsid w:val="00537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37FDE"/>
    <w:rPr>
      <w:i/>
      <w:iCs/>
      <w:color w:val="0F4761" w:themeColor="accent1" w:themeShade="BF"/>
    </w:rPr>
  </w:style>
  <w:style w:type="character" w:styleId="Odwoanieintensywne">
    <w:name w:val="Intense Reference"/>
    <w:basedOn w:val="Domylnaczcionkaakapitu"/>
    <w:uiPriority w:val="32"/>
    <w:qFormat/>
    <w:rsid w:val="00537FDE"/>
    <w:rPr>
      <w:b/>
      <w:bCs/>
      <w:smallCaps/>
      <w:color w:val="0F4761" w:themeColor="accent1" w:themeShade="BF"/>
      <w:spacing w:val="5"/>
    </w:rPr>
  </w:style>
  <w:style w:type="table" w:styleId="Tabela-Siatka">
    <w:name w:val="Table Grid"/>
    <w:basedOn w:val="Standardowy"/>
    <w:uiPriority w:val="39"/>
    <w:rsid w:val="00537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przypisukocowego">
    <w:name w:val="endnote text"/>
    <w:basedOn w:val="Normalny"/>
    <w:link w:val="TekstprzypisukocowegoZnak"/>
    <w:uiPriority w:val="99"/>
    <w:semiHidden/>
    <w:unhideWhenUsed/>
    <w:rsid w:val="000A4EED"/>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A4EED"/>
    <w:rPr>
      <w:sz w:val="20"/>
      <w:szCs w:val="20"/>
    </w:rPr>
  </w:style>
  <w:style w:type="character" w:styleId="Odwoanieprzypisukocowego">
    <w:name w:val="endnote reference"/>
    <w:basedOn w:val="Domylnaczcionkaakapitu"/>
    <w:uiPriority w:val="99"/>
    <w:semiHidden/>
    <w:unhideWhenUsed/>
    <w:rsid w:val="000A4E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568514">
      <w:bodyDiv w:val="1"/>
      <w:marLeft w:val="0"/>
      <w:marRight w:val="0"/>
      <w:marTop w:val="0"/>
      <w:marBottom w:val="0"/>
      <w:divBdr>
        <w:top w:val="none" w:sz="0" w:space="0" w:color="auto"/>
        <w:left w:val="none" w:sz="0" w:space="0" w:color="auto"/>
        <w:bottom w:val="none" w:sz="0" w:space="0" w:color="auto"/>
        <w:right w:val="none" w:sz="0" w:space="0" w:color="auto"/>
      </w:divBdr>
    </w:div>
    <w:div w:id="271938158">
      <w:bodyDiv w:val="1"/>
      <w:marLeft w:val="0"/>
      <w:marRight w:val="0"/>
      <w:marTop w:val="0"/>
      <w:marBottom w:val="0"/>
      <w:divBdr>
        <w:top w:val="none" w:sz="0" w:space="0" w:color="auto"/>
        <w:left w:val="none" w:sz="0" w:space="0" w:color="auto"/>
        <w:bottom w:val="none" w:sz="0" w:space="0" w:color="auto"/>
        <w:right w:val="none" w:sz="0" w:space="0" w:color="auto"/>
      </w:divBdr>
    </w:div>
    <w:div w:id="561066688">
      <w:bodyDiv w:val="1"/>
      <w:marLeft w:val="0"/>
      <w:marRight w:val="0"/>
      <w:marTop w:val="0"/>
      <w:marBottom w:val="0"/>
      <w:divBdr>
        <w:top w:val="none" w:sz="0" w:space="0" w:color="auto"/>
        <w:left w:val="none" w:sz="0" w:space="0" w:color="auto"/>
        <w:bottom w:val="none" w:sz="0" w:space="0" w:color="auto"/>
        <w:right w:val="none" w:sz="0" w:space="0" w:color="auto"/>
      </w:divBdr>
    </w:div>
    <w:div w:id="797334236">
      <w:bodyDiv w:val="1"/>
      <w:marLeft w:val="0"/>
      <w:marRight w:val="0"/>
      <w:marTop w:val="0"/>
      <w:marBottom w:val="0"/>
      <w:divBdr>
        <w:top w:val="none" w:sz="0" w:space="0" w:color="auto"/>
        <w:left w:val="none" w:sz="0" w:space="0" w:color="auto"/>
        <w:bottom w:val="none" w:sz="0" w:space="0" w:color="auto"/>
        <w:right w:val="none" w:sz="0" w:space="0" w:color="auto"/>
      </w:divBdr>
    </w:div>
    <w:div w:id="944774843">
      <w:bodyDiv w:val="1"/>
      <w:marLeft w:val="0"/>
      <w:marRight w:val="0"/>
      <w:marTop w:val="0"/>
      <w:marBottom w:val="0"/>
      <w:divBdr>
        <w:top w:val="none" w:sz="0" w:space="0" w:color="auto"/>
        <w:left w:val="none" w:sz="0" w:space="0" w:color="auto"/>
        <w:bottom w:val="none" w:sz="0" w:space="0" w:color="auto"/>
        <w:right w:val="none" w:sz="0" w:space="0" w:color="auto"/>
      </w:divBdr>
    </w:div>
    <w:div w:id="979267358">
      <w:bodyDiv w:val="1"/>
      <w:marLeft w:val="0"/>
      <w:marRight w:val="0"/>
      <w:marTop w:val="0"/>
      <w:marBottom w:val="0"/>
      <w:divBdr>
        <w:top w:val="none" w:sz="0" w:space="0" w:color="auto"/>
        <w:left w:val="none" w:sz="0" w:space="0" w:color="auto"/>
        <w:bottom w:val="none" w:sz="0" w:space="0" w:color="auto"/>
        <w:right w:val="none" w:sz="0" w:space="0" w:color="auto"/>
      </w:divBdr>
    </w:div>
    <w:div w:id="1060058185">
      <w:bodyDiv w:val="1"/>
      <w:marLeft w:val="0"/>
      <w:marRight w:val="0"/>
      <w:marTop w:val="0"/>
      <w:marBottom w:val="0"/>
      <w:divBdr>
        <w:top w:val="none" w:sz="0" w:space="0" w:color="auto"/>
        <w:left w:val="none" w:sz="0" w:space="0" w:color="auto"/>
        <w:bottom w:val="none" w:sz="0" w:space="0" w:color="auto"/>
        <w:right w:val="none" w:sz="0" w:space="0" w:color="auto"/>
      </w:divBdr>
    </w:div>
    <w:div w:id="1092318899">
      <w:bodyDiv w:val="1"/>
      <w:marLeft w:val="0"/>
      <w:marRight w:val="0"/>
      <w:marTop w:val="0"/>
      <w:marBottom w:val="0"/>
      <w:divBdr>
        <w:top w:val="none" w:sz="0" w:space="0" w:color="auto"/>
        <w:left w:val="none" w:sz="0" w:space="0" w:color="auto"/>
        <w:bottom w:val="none" w:sz="0" w:space="0" w:color="auto"/>
        <w:right w:val="none" w:sz="0" w:space="0" w:color="auto"/>
      </w:divBdr>
    </w:div>
    <w:div w:id="205711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1253</Words>
  <Characters>7522</Characters>
  <Application>Microsoft Office Word</Application>
  <DocSecurity>0</DocSecurity>
  <Lines>62</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Kamila Banasiak</dc:creator>
  <cp:keywords/>
  <dc:description/>
  <cp:lastModifiedBy>Andrzej Wolff</cp:lastModifiedBy>
  <cp:revision>10</cp:revision>
  <dcterms:created xsi:type="dcterms:W3CDTF">2025-07-24T10:18:00Z</dcterms:created>
  <dcterms:modified xsi:type="dcterms:W3CDTF">2025-08-18T10:06:00Z</dcterms:modified>
</cp:coreProperties>
</file>