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stale_assumption_note</w:t>
      </w:r>
    </w:p>
    <w:p>
      <w:pPr>
        <w:pStyle w:val="Heading2"/>
      </w:pPr>
      <w:r>
        <w:t>Brief</w:t>
      </w:r>
    </w:p>
    <w:p>
      <w:r>
        <w:t>Repair a stale finance assumption set, preserve the latest revenue case, and stop at committee approval instead of publishing a stale recommendation.</w:t>
      </w:r>
    </w:p>
    <w:p>
      <w:pPr>
        <w:pStyle w:val="Heading2"/>
      </w:pPr>
      <w:r>
        <w:t>Output</w:t>
      </w:r>
    </w:p>
    <w:p>
      <w:r>
        <w:t>latest case hold committee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