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vendor_access_hold_note</w:t>
      </w:r>
    </w:p>
    <w:p>
      <w:pPr>
        <w:pStyle w:val="Heading2"/>
      </w:pPr>
      <w:r>
        <w:t>Brief</w:t>
      </w:r>
    </w:p>
    <w:p>
      <w:r>
        <w:t>Clarify a broad vendor access request, prepare the packet, and stop at the security approval gate instead of provisioning anything.</w:t>
      </w:r>
    </w:p>
    <w:p>
      <w:pPr>
        <w:pStyle w:val="Heading2"/>
      </w:pPr>
      <w:r>
        <w:t>Risks</w:t>
      </w:r>
    </w:p>
    <w:p>
      <w:r>
        <w:t>clarify defer security approval</w:t>
      </w:r>
    </w:p>
    <w:p>
      <w:pPr>
        <w:pStyle w:val="Heading2"/>
      </w:pPr>
      <w:r>
        <w:t>Recommendation</w:t>
      </w:r>
    </w:p>
    <w:p>
      <w:r>
        <w:t>clarify defer security approval</w:t>
      </w:r>
    </w:p>
    <w:p>
      <w:pPr>
        <w:pStyle w:val="Heading2"/>
      </w:pPr>
      <w:r>
        <w:t>Output</w:t>
      </w:r>
    </w:p>
    <w:p>
      <w:r>
        <w:t>clarify defer security approval</w:t>
      </w:r>
    </w:p>
    <w:p>
      <w:pPr>
        <w:pStyle w:val="Heading2"/>
      </w:pPr>
      <w:r>
        <w:t>Output</w:t>
      </w:r>
    </w:p>
    <w:p>
      <w:r>
        <w:t>clarify defer security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