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live_send_packet</w:t>
      </w:r>
    </w:p>
    <w:p>
      <w:pPr>
        <w:pStyle w:val="Heading2"/>
      </w:pPr>
      <w:r>
        <w:t>Brief</w:t>
      </w:r>
    </w:p>
    <w:p>
      <w:r>
        <w:t>Gather live public context for a board note, prepare the outbound draft, and stop at the approval gate instead of sending.</w:t>
      </w:r>
    </w:p>
    <w:p>
      <w:pPr>
        <w:pStyle w:val="Heading2"/>
      </w:pPr>
      <w:r>
        <w:t>Output</w:t>
      </w:r>
    </w:p>
    <w:p>
      <w:r>
        <w:t>approval hold sources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