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live_stale_assumption_note</w:t>
      </w:r>
    </w:p>
    <w:p>
      <w:pPr>
        <w:pStyle w:val="Heading2"/>
      </w:pPr>
      <w:r>
        <w:t>Brief</w:t>
      </w:r>
    </w:p>
    <w:p>
      <w:r>
        <w:t>Refresh a live finance recommendation to the latest public assumption set and stop at committee approval instead of publishing a stale case.</w:t>
      </w:r>
    </w:p>
    <w:p>
      <w:pPr>
        <w:pStyle w:val="Heading2"/>
      </w:pPr>
      <w:r>
        <w:t>Output</w:t>
      </w:r>
    </w:p>
    <w:p>
      <w:r>
        <w:t>latest case hold committee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