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1645D"/>
          <w:sz w:val="40"/>
          <w:szCs w:val="40"/>
        </w:rPr>
        <w:t xml:space="preserve">Cuotas sin Interés en E-commerce</w:t>
      </w:r>
    </w:p>
    <w:p>
      <w:pPr>
        <w:spacing w:after="120"/>
        <w:jc w:val="center"/>
      </w:pPr>
      <w:r>
        <w:rPr>
          <w:rFonts w:ascii="Arial" w:cs="Arial" w:eastAsia="Arial" w:hAnsi="Arial"/>
          <w:color w:val="666666"/>
          <w:sz w:val="24"/>
          <w:szCs w:val="24"/>
        </w:rPr>
        <w:t xml:space="preserve">Guía práctica para CompraHogar — Uruguay</w:t>
      </w:r>
    </w:p>
    <w:p>
      <w:pPr>
        <w:spacing w:after="400"/>
        <w:jc w:val="center"/>
      </w:pPr>
      <w:r>
        <w:rPr>
          <w:rFonts w:ascii="Arial" w:cs="Arial" w:eastAsia="Arial" w:hAnsi="Arial"/>
          <w:color w:val="999999"/>
          <w:sz w:val="18"/>
          <w:szCs w:val="18"/>
        </w:rPr>
        <w:t xml:space="preserve">Abril 2026 | Documento interno Chelabs</w:t>
      </w:r>
    </w:p>
    <w:p>
      <w:pPr>
        <w:pStyle w:val="Heading1"/>
      </w:pPr>
      <w:r>
        <w:t xml:space="preserve">1. ¿Qué son las cuotas sin interés?</w:t>
      </w:r>
    </w:p>
    <w:p>
      <w:pPr>
        <w:spacing w:after="200"/>
      </w:pPr>
      <w:r>
        <w:rPr>
          <w:rFonts w:ascii="Arial" w:cs="Arial" w:eastAsia="Arial" w:hAnsi="Arial"/>
          <w:sz w:val="22"/>
          <w:szCs w:val="22"/>
        </w:rPr>
        <w:t xml:space="preserve">Las cuotas sin interés permiten al cliente pagar en cuotas mensuales sin ningún recargo adicional. El precio que ve el consumidor dividido en cuotas es exactamente el precio total del producto.</w:t>
      </w:r>
    </w:p>
    <w:p>
      <w:pPr>
        <w:pStyle w:val="ListParagraph"/>
        <w:numPr>
          <w:ilvl w:val="0"/>
          <w:numId w:val="2"/>
        </w:numPr>
        <w:spacing w:after="100"/>
      </w:pPr>
      <w:r>
        <w:rPr>
          <w:rFonts w:ascii="Arial" w:cs="Arial" w:eastAsia="Arial" w:hAnsi="Arial"/>
          <w:sz w:val="22"/>
          <w:szCs w:val="22"/>
        </w:rPr>
        <w:t xml:space="preserve">El cliente paga en cuotas iguales sin interés — percibe un beneficio real.</w:t>
      </w:r>
    </w:p>
    <w:p>
      <w:pPr>
        <w:pStyle w:val="ListParagraph"/>
        <w:numPr>
          <w:ilvl w:val="0"/>
          <w:numId w:val="2"/>
        </w:numPr>
        <w:spacing w:after="100"/>
      </w:pPr>
      <w:r>
        <w:rPr>
          <w:rFonts w:ascii="Arial" w:cs="Arial" w:eastAsia="Arial" w:hAnsi="Arial"/>
          <w:sz w:val="22"/>
          <w:szCs w:val="22"/>
        </w:rPr>
        <w:t xml:space="preserve">El comercio absorbe el costo de financiación: el procesador de pago cobra una comisión mayor a más cuotas.</w:t>
      </w:r>
    </w:p>
    <w:p>
      <w:pPr>
        <w:pStyle w:val="ListParagraph"/>
        <w:numPr>
          <w:ilvl w:val="0"/>
          <w:numId w:val="2"/>
        </w:numPr>
        <w:spacing w:after="200"/>
      </w:pPr>
      <w:r>
        <w:rPr>
          <w:rFonts w:ascii="Arial" w:cs="Arial" w:eastAsia="Arial" w:hAnsi="Arial"/>
          <w:sz w:val="22"/>
          <w:szCs w:val="22"/>
        </w:rPr>
        <w:t xml:space="preserve">Es una herramienta de conversión muy potente: reduce la barrera de precio y aumenta el ticket promedio.</w:t>
      </w:r>
    </w:p>
    <w:p>
      <w:pPr>
        <w:shd w:fill="D6EAE7" w:val="clear"/>
        <w:spacing w:after="120" w:before="120"/>
        <w:ind w:left="360" w:right="360"/>
      </w:pPr>
      <w:r>
        <w:rPr>
          <w:rFonts w:ascii="Arial" w:cs="Arial" w:eastAsia="Arial" w:hAnsi="Arial"/>
          <w:b/>
          <w:bCs/>
          <w:color w:val="21645D"/>
          <w:sz w:val="22"/>
          <w:szCs w:val="22"/>
        </w:rPr>
        <w:t xml:space="preserve">Ejemplo: </w:t>
      </w:r>
      <w:r>
        <w:rPr>
          <w:rFonts w:ascii="Arial" w:cs="Arial" w:eastAsia="Arial" w:hAnsi="Arial"/>
          <w:color w:val="333333"/>
          <w:sz w:val="22"/>
          <w:szCs w:val="22"/>
        </w:rPr>
        <w:t xml:space="preserve">Un producto cuesta $12.000 UYU. El cliente ve “12x $1.000 sin interés”. El comercio recibe aproximadamente $11.280 (después de ~6% de comisión en vez del ~3% habitual en un pago).</w:t>
      </w:r>
    </w:p>
    <w:p>
      <w:pPr>
        <w:pStyle w:val="Heading1"/>
      </w:pPr>
      <w:r>
        <w:t xml:space="preserve">2. ¿Cómo funciona el costo para el comercio?</w:t>
      </w:r>
    </w:p>
    <w:p>
      <w:pPr>
        <w:spacing w:after="200"/>
      </w:pPr>
      <w:r>
        <w:rPr>
          <w:rFonts w:ascii="Arial" w:cs="Arial" w:eastAsia="Arial" w:hAnsi="Arial"/>
          <w:sz w:val="22"/>
          <w:szCs w:val="22"/>
        </w:rPr>
        <w:t xml:space="preserve">A mayor cantidad de cuotas, mayor es la comisión que cobra el procesador. La siguiente tabla muestra valores aproximados: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164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Cuotas</w:t>
            </w:r>
          </w:p>
        </w:tc>
        <w:tc>
          <w:tcPr>
            <w:tcW w:type="dxa" w:w="3120"/>
            <w:tcBorders>
              <w:top w:val="single" w:color="CCCCCC" w:sz="1"/>
              <w:left w:val="single" w:color="CCCCCC" w:sz="1"/>
              <w:bottom w:val="single" w:color="CCCCCC" w:sz="1"/>
              <w:right w:val="single" w:color="CCCCCC" w:sz="1"/>
            </w:tcBorders>
            <w:shd w:fill="2164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Comisión aprox.</w:t>
            </w:r>
          </w:p>
        </w:tc>
        <w:tc>
          <w:tcPr>
            <w:tcW w:type="dxa" w:w="3120"/>
            <w:tcBorders>
              <w:top w:val="single" w:color="CCCCCC" w:sz="1"/>
              <w:left w:val="single" w:color="CCCCCC" w:sz="1"/>
              <w:bottom w:val="single" w:color="CCCCCC" w:sz="1"/>
              <w:right w:val="single" w:color="CCCCCC" w:sz="1"/>
            </w:tcBorders>
            <w:shd w:fill="2164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Recibís por $10.000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 pago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$9.700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 cuotas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$9.550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 cuotas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$9.450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12 cuotas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7-8%</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$9.200 - $9.300</w:t>
            </w:r>
          </w:p>
        </w:tc>
      </w:tr>
    </w:tbl>
    <w:p>
      <w:pPr>
        <w:spacing w:after="200" w:before="160"/>
      </w:pPr>
      <w:r>
        <w:rPr>
          <w:rFonts w:ascii="Arial" w:cs="Arial" w:eastAsia="Arial" w:hAnsi="Arial"/>
          <w:i/>
          <w:iCs/>
          <w:color w:val="666666"/>
          <w:sz w:val="20"/>
          <w:szCs w:val="20"/>
        </w:rPr>
        <w:t xml:space="preserve">Nota: las tasas exactas dependen del procesador de pago, el rubro del comercio y la negociación particular.</w:t>
      </w:r>
    </w:p>
    <w:p>
      <w:pPr>
        <w:pStyle w:val="Heading1"/>
      </w:pPr>
      <w:r>
        <w:t xml:space="preserve">3. Opciones de procesador de pago en Uruguay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1500"/>
        <w:gridCol w:w="1500"/>
      </w:tblGrid>
      <w:tr>
        <w:tc>
          <w:tcPr>
            <w:tcW w:type="dxa" w:w="2000"/>
            <w:tcBorders>
              <w:top w:val="single" w:color="CCCCCC" w:sz="1"/>
              <w:left w:val="single" w:color="CCCCCC" w:sz="1"/>
              <w:bottom w:val="single" w:color="CCCCCC" w:sz="1"/>
              <w:right w:val="single" w:color="CCCCCC" w:sz="1"/>
            </w:tcBorders>
            <w:shd w:fill="2164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Procesador</w:t>
            </w:r>
          </w:p>
        </w:tc>
        <w:tc>
          <w:tcPr>
            <w:tcW w:type="dxa" w:w="4360"/>
            <w:tcBorders>
              <w:top w:val="single" w:color="CCCCCC" w:sz="1"/>
              <w:left w:val="single" w:color="CCCCCC" w:sz="1"/>
              <w:bottom w:val="single" w:color="CCCCCC" w:sz="1"/>
              <w:right w:val="single" w:color="CCCCCC" w:sz="1"/>
            </w:tcBorders>
            <w:shd w:fill="2164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Características</w:t>
            </w:r>
          </w:p>
        </w:tc>
        <w:tc>
          <w:tcPr>
            <w:tcW w:type="dxa" w:w="1500"/>
            <w:tcBorders>
              <w:top w:val="single" w:color="CCCCCC" w:sz="1"/>
              <w:left w:val="single" w:color="CCCCCC" w:sz="1"/>
              <w:bottom w:val="single" w:color="CCCCCC" w:sz="1"/>
              <w:right w:val="single" w:color="CCCCCC" w:sz="1"/>
            </w:tcBorders>
            <w:shd w:fill="2164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Comisión</w:t>
            </w:r>
          </w:p>
        </w:tc>
        <w:tc>
          <w:tcPr>
            <w:tcW w:type="dxa" w:w="1500"/>
            <w:tcBorders>
              <w:top w:val="single" w:color="CCCCCC" w:sz="1"/>
              <w:left w:val="single" w:color="CCCCCC" w:sz="1"/>
              <w:bottom w:val="single" w:color="CCCCCC" w:sz="1"/>
              <w:right w:val="single" w:color="CCCCCC" w:sz="1"/>
            </w:tcBorders>
            <w:shd w:fill="2164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Shopify</w:t>
            </w:r>
          </w:p>
        </w:tc>
      </w:tr>
      <w:tr>
        <w:tc>
          <w:tcPr>
            <w:tcW w:type="dxa" w:w="2000"/>
            <w:tcBorders>
              <w:top w:val="single" w:color="CCCCCC" w:sz="1"/>
              <w:left w:val="single" w:color="CCCCCC" w:sz="1"/>
              <w:bottom w:val="single" w:color="CCCCCC" w:sz="1"/>
              <w:right w:val="single" w:color="CCCCCC" w:sz="1"/>
            </w:tcBorders>
            <w:shd w:fill="D6EAE7" w:val="clear"/>
            <w:tcMar>
              <w:top w:type="dxa" w:w="80"/>
              <w:left w:type="dxa" w:w="120"/>
              <w:bottom w:type="dxa" w:w="80"/>
              <w:right w:type="dxa" w:w="120"/>
            </w:tcMar>
          </w:tcPr>
          <w:p>
            <w:r>
              <w:rPr>
                <w:rFonts w:ascii="Arial" w:cs="Arial" w:eastAsia="Arial" w:hAnsi="Arial"/>
                <w:b/>
                <w:bCs/>
                <w:color w:val="21645D"/>
                <w:sz w:val="20"/>
                <w:szCs w:val="20"/>
              </w:rPr>
              <w:t xml:space="preserve">Mercado Pago</w:t>
            </w:r>
          </w:p>
          <w:p>
            <w:r>
              <w:rPr>
                <w:rFonts w:ascii="Arial" w:cs="Arial" w:eastAsia="Arial" w:hAnsi="Arial"/>
                <w:b/>
                <w:bCs/>
                <w:color w:val="21645D"/>
                <w:sz w:val="16"/>
                <w:szCs w:val="16"/>
              </w:rPr>
              <w:t xml:space="preserve">RECOMENDADO</w:t>
            </w:r>
          </w:p>
        </w:tc>
        <w:tc>
          <w:tcPr>
            <w:tcW w:type="dxa" w:w="4360"/>
            <w:tcBorders>
              <w:top w:val="single" w:color="CCCCCC" w:sz="1"/>
              <w:left w:val="single" w:color="CCCCCC" w:sz="1"/>
              <w:bottom w:val="single" w:color="CCCCCC" w:sz="1"/>
              <w:right w:val="single" w:color="CCCCCC" w:sz="1"/>
            </w:tcBorders>
            <w:shd w:fill="D6EA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Plugin Shopify oficial. Cuotas automáticas. Mayor confianza del consumidor uruguayo. Soporte local.</w:t>
            </w:r>
          </w:p>
        </w:tc>
        <w:tc>
          <w:tcPr>
            <w:tcW w:type="dxa" w:w="1500"/>
            <w:tcBorders>
              <w:top w:val="single" w:color="CCCCCC" w:sz="1"/>
              <w:left w:val="single" w:color="CCCCCC" w:sz="1"/>
              <w:bottom w:val="single" w:color="CCCCCC" w:sz="1"/>
              <w:right w:val="single" w:color="CCCCCC" w:sz="1"/>
            </w:tcBorders>
            <w:shd w:fill="D6EAE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4-6% + IVA</w:t>
            </w:r>
          </w:p>
        </w:tc>
        <w:tc>
          <w:tcPr>
            <w:tcW w:type="dxa" w:w="1500"/>
            <w:tcBorders>
              <w:top w:val="single" w:color="CCCCCC" w:sz="1"/>
              <w:left w:val="single" w:color="CCCCCC" w:sz="1"/>
              <w:bottom w:val="single" w:color="CCCCCC" w:sz="1"/>
              <w:right w:val="single" w:color="CCCCCC" w:sz="1"/>
            </w:tcBorders>
            <w:shd w:fill="D6EAE7"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Oficial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dLocal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Todos los métodos locales + internacionales. API robusta. Ideal para escalar a LatAm.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3,5-5%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API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Plexo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Visa, Master, OCA, Anda, Cabal. Empresa uruguaya. Sin plugin nativo Shopify.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Bamboo Payment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Cobertura LatAm completa. API. Múltiples métodos de pago.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Variable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API</w:t>
            </w:r>
          </w:p>
        </w:tc>
      </w:tr>
    </w:tbl>
    <w:p>
      <w:r>
        <w:br w:type="page"/>
      </w:r>
    </w:p>
    <w:p>
      <w:pPr>
        <w:pStyle w:val="Heading1"/>
      </w:pPr>
      <w:r>
        <w:t xml:space="preserve">4. Pasos para activar Mercado Pago en Shopify</w:t>
      </w:r>
    </w:p>
    <w:p>
      <w:pPr>
        <w:spacing w:after="200"/>
      </w:pPr>
      <w:r>
        <w:rPr>
          <w:rFonts w:ascii="Arial" w:cs="Arial" w:eastAsia="Arial" w:hAnsi="Arial"/>
          <w:sz w:val="22"/>
          <w:szCs w:val="22"/>
        </w:rPr>
        <w:t xml:space="preserve">Seguir estos pasos para integrar Mercado Pago con cuotas sin interés en la tienda Shopify de CompraHogar:</w:t>
      </w:r>
    </w:p>
    <w:p>
      <w:pPr>
        <w:pStyle w:val="ListParagraph"/>
        <w:numPr>
          <w:ilvl w:val="0"/>
          <w:numId w:val="3"/>
        </w:numPr>
        <w:spacing w:after="120"/>
      </w:pPr>
      <w:r>
        <w:rPr>
          <w:rFonts w:ascii="Arial" w:cs="Arial" w:eastAsia="Arial" w:hAnsi="Arial"/>
          <w:sz w:val="22"/>
          <w:szCs w:val="22"/>
        </w:rPr>
        <w:t xml:space="preserve">Crear cuenta vendedor en mercadopago.com.uy</w:t>
      </w:r>
    </w:p>
    <w:p>
      <w:pPr>
        <w:pStyle w:val="ListParagraph"/>
        <w:numPr>
          <w:ilvl w:val="0"/>
          <w:numId w:val="3"/>
        </w:numPr>
        <w:spacing w:after="120"/>
      </w:pPr>
      <w:r>
        <w:rPr>
          <w:rFonts w:ascii="Arial" w:cs="Arial" w:eastAsia="Arial" w:hAnsi="Arial"/>
          <w:sz w:val="22"/>
          <w:szCs w:val="22"/>
        </w:rPr>
        <w:t xml:space="preserve">Verificar identidad (CI uruguaya + datos bancarios de la empresa)</w:t>
      </w:r>
    </w:p>
    <w:p>
      <w:pPr>
        <w:pStyle w:val="ListParagraph"/>
        <w:numPr>
          <w:ilvl w:val="0"/>
          <w:numId w:val="3"/>
        </w:numPr>
        <w:spacing w:after="120"/>
      </w:pPr>
      <w:r>
        <w:rPr>
          <w:rFonts w:ascii="Arial" w:cs="Arial" w:eastAsia="Arial" w:hAnsi="Arial"/>
          <w:sz w:val="22"/>
          <w:szCs w:val="22"/>
        </w:rPr>
        <w:t xml:space="preserve">En Shopify Admin → Settings → Payments → instalar la app “Mercado Pago”</w:t>
      </w:r>
    </w:p>
    <w:p>
      <w:pPr>
        <w:pStyle w:val="ListParagraph"/>
        <w:numPr>
          <w:ilvl w:val="0"/>
          <w:numId w:val="3"/>
        </w:numPr>
        <w:spacing w:after="120"/>
      </w:pPr>
      <w:r>
        <w:rPr>
          <w:rFonts w:ascii="Arial" w:cs="Arial" w:eastAsia="Arial" w:hAnsi="Arial"/>
          <w:sz w:val="22"/>
          <w:szCs w:val="22"/>
        </w:rPr>
        <w:t xml:space="preserve">Conectar credenciales (Client ID + Client Secret desde el panel de MP)</w:t>
      </w:r>
    </w:p>
    <w:p>
      <w:pPr>
        <w:pStyle w:val="ListParagraph"/>
        <w:numPr>
          <w:ilvl w:val="0"/>
          <w:numId w:val="3"/>
        </w:numPr>
        <w:spacing w:after="120"/>
      </w:pPr>
      <w:r>
        <w:rPr>
          <w:rFonts w:ascii="Arial" w:cs="Arial" w:eastAsia="Arial" w:hAnsi="Arial"/>
          <w:sz w:val="22"/>
          <w:szCs w:val="22"/>
        </w:rPr>
        <w:t xml:space="preserve">Configurar cuotas: elegir cuántas cuotas absorber (3, 6 o 12 sin interés)</w:t>
      </w:r>
    </w:p>
    <w:p>
      <w:pPr>
        <w:pStyle w:val="ListParagraph"/>
        <w:numPr>
          <w:ilvl w:val="0"/>
          <w:numId w:val="3"/>
        </w:numPr>
        <w:spacing w:after="120"/>
      </w:pPr>
      <w:r>
        <w:rPr>
          <w:rFonts w:ascii="Arial" w:cs="Arial" w:eastAsia="Arial" w:hAnsi="Arial"/>
          <w:sz w:val="22"/>
          <w:szCs w:val="22"/>
        </w:rPr>
        <w:t xml:space="preserve">Activar métodos de pago: Visa, Mastercard, OCA, Abitab, RedPagos</w:t>
      </w:r>
    </w:p>
    <w:p>
      <w:pPr>
        <w:spacing w:after="200" w:before="160"/>
      </w:pPr>
      <w:r>
        <w:rPr>
          <w:rFonts w:ascii="Arial" w:cs="Arial" w:eastAsia="Arial" w:hAnsi="Arial"/>
          <w:i/>
          <w:iCs/>
          <w:color w:val="666666"/>
          <w:sz w:val="20"/>
          <w:szCs w:val="20"/>
        </w:rPr>
        <w:t xml:space="preserve">Tiempo estimado de activación: 1-3 días hábiles (depende de la verificación de identidad).</w:t>
      </w:r>
    </w:p>
    <w:p>
      <w:pPr>
        <w:pStyle w:val="Heading1"/>
      </w:pPr>
      <w:r>
        <w:t xml:space="preserve">5. Recomendación para CompraHogar</w:t>
      </w:r>
    </w:p>
    <w:p>
      <w:pPr>
        <w:spacing w:after="200"/>
      </w:pPr>
      <w:r>
        <w:rPr>
          <w:rFonts w:ascii="Arial" w:cs="Arial" w:eastAsia="Arial" w:hAnsi="Arial"/>
          <w:sz w:val="22"/>
          <w:szCs w:val="22"/>
        </w:rPr>
        <w:t xml:space="preserve">Estrategia sugerida para el lanzamiento:</w:t>
      </w:r>
    </w:p>
    <w:p>
      <w:pPr>
        <w:pStyle w:val="ListParagraph"/>
        <w:numPr>
          <w:ilvl w:val="0"/>
          <w:numId w:val="4"/>
        </w:numPr>
        <w:spacing w:after="120"/>
      </w:pPr>
      <w:r>
        <w:rPr>
          <w:rFonts w:ascii="Arial" w:cs="Arial" w:eastAsia="Arial" w:hAnsi="Arial"/>
          <w:b/>
          <w:bCs/>
          <w:sz w:val="22"/>
          <w:szCs w:val="22"/>
        </w:rPr>
        <w:t xml:space="preserve">Comenzar con 3 cuotas sin interés: </w:t>
      </w:r>
      <w:r>
        <w:rPr>
          <w:rFonts w:ascii="Arial" w:cs="Arial" w:eastAsia="Arial" w:hAnsi="Arial"/>
          <w:sz w:val="22"/>
          <w:szCs w:val="22"/>
        </w:rPr>
        <w:t xml:space="preserve">menor costo para el comercio y ya resulta atractivo para el cliente.</w:t>
      </w:r>
    </w:p>
    <w:p>
      <w:pPr>
        <w:pStyle w:val="ListParagraph"/>
        <w:numPr>
          <w:ilvl w:val="0"/>
          <w:numId w:val="4"/>
        </w:numPr>
        <w:spacing w:after="120"/>
      </w:pPr>
      <w:r>
        <w:rPr>
          <w:rFonts w:ascii="Arial" w:cs="Arial" w:eastAsia="Arial" w:hAnsi="Arial"/>
          <w:b/>
          <w:bCs/>
          <w:sz w:val="22"/>
          <w:szCs w:val="22"/>
        </w:rPr>
        <w:t xml:space="preserve">Ofrecer 6-12 cuotas en productos de más de $5.000 UYU: </w:t>
      </w:r>
      <w:r>
        <w:rPr>
          <w:rFonts w:ascii="Arial" w:cs="Arial" w:eastAsia="Arial" w:hAnsi="Arial"/>
          <w:sz w:val="22"/>
          <w:szCs w:val="22"/>
        </w:rPr>
        <w:t xml:space="preserve">a mayor ticket, mayor impacto en la conversión.</w:t>
      </w:r>
    </w:p>
    <w:p>
      <w:pPr>
        <w:pStyle w:val="ListParagraph"/>
        <w:numPr>
          <w:ilvl w:val="0"/>
          <w:numId w:val="4"/>
        </w:numPr>
        <w:spacing w:after="200"/>
      </w:pPr>
      <w:r>
        <w:rPr>
          <w:rFonts w:ascii="Arial" w:cs="Arial" w:eastAsia="Arial" w:hAnsi="Arial"/>
          <w:b/>
          <w:bCs/>
          <w:sz w:val="22"/>
          <w:szCs w:val="22"/>
        </w:rPr>
        <w:t xml:space="preserve">Mostrar siempre el mensaje de cuotas en las tarjetas de producto: </w:t>
      </w:r>
      <w:r>
        <w:rPr>
          <w:rFonts w:ascii="Arial" w:cs="Arial" w:eastAsia="Arial" w:hAnsi="Arial"/>
          <w:sz w:val="22"/>
          <w:szCs w:val="22"/>
        </w:rPr>
        <w:t xml:space="preserve">esto ya está implementado en el sitio de CompraHogar.</w:t>
      </w:r>
    </w:p>
    <w:p>
      <w:pPr>
        <w:pBdr>
          <w:left w:val="single" w:color="21645D" w:sz="12" w:space="8"/>
        </w:pBdr>
        <w:shd w:fill="D6EAE7" w:val="clear"/>
        <w:spacing w:after="120" w:before="200"/>
        <w:ind w:left="360" w:right="360"/>
      </w:pPr>
      <w:r>
        <w:rPr>
          <w:rFonts w:ascii="Arial" w:cs="Arial" w:eastAsia="Arial" w:hAnsi="Arial"/>
          <w:b/>
          <w:bCs/>
          <w:color w:val="21645D"/>
          <w:sz w:val="22"/>
          <w:szCs w:val="22"/>
        </w:rPr>
        <w:t xml:space="preserve">Próximos pasos: </w:t>
      </w:r>
      <w:r>
        <w:rPr>
          <w:rFonts w:ascii="Arial" w:cs="Arial" w:eastAsia="Arial" w:hAnsi="Arial"/>
          <w:color w:val="333333"/>
          <w:sz w:val="22"/>
          <w:szCs w:val="22"/>
        </w:rPr>
        <w:t xml:space="preserve">Crear la cuenta de Mercado Pago vendedor, integrar con Shopify y configurar las cuotas antes del lanzamiento. Revisar las comisiones reales una vez aprobada la cuenta.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CompraHogar — Chelabs | 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645D" w:sz="6" w:space="4"/>
      </w:pBdr>
      <w:spacing w:after="120"/>
    </w:pPr>
    <w:r>
      <w:rPr>
        <w:rFonts w:ascii="Arial" w:cs="Arial" w:eastAsia="Arial" w:hAnsi="Arial"/>
        <w:b/>
        <w:bCs/>
        <w:color w:val="21645D"/>
        <w:sz w:val="20"/>
        <w:szCs w:val="20"/>
      </w:rPr>
      <w:t xml:space="preserve">CompraHogar</w:t>
    </w:r>
    <w:r>
      <w:rPr>
        <w:rFonts w:ascii="Arial" w:cs="Arial" w:eastAsia="Arial" w:hAnsi="Arial"/>
        <w:color w:val="888888"/>
        <w:sz w:val="20"/>
        <w:szCs w:val="20"/>
      </w:rPr>
      <w:t xml:space="preserve">  —  Guía Interna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164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164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2026-04-02T23:09:57.353Z</dcterms:created>
  <dcterms:modified xsi:type="dcterms:W3CDTF">2026-04-02T23:09:57.354Z</dcterms:modified>
</cp:coreProperties>
</file>

<file path=docProps/custom.xml><?xml version="1.0" encoding="utf-8"?>
<Properties xmlns="http://schemas.openxmlformats.org/officeDocument/2006/custom-properties" xmlns:vt="http://schemas.openxmlformats.org/officeDocument/2006/docPropsVTypes"/>
</file>