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06FC" w14:textId="77777777" w:rsidR="001F34EE" w:rsidRPr="00F6693D" w:rsidRDefault="001F34EE" w:rsidP="001F34EE">
      <w:pPr>
        <w:jc w:val="center"/>
        <w:rPr>
          <w:lang w:eastAsia="es-BO"/>
        </w:rPr>
      </w:pPr>
      <w:r w:rsidRPr="00F6693D">
        <w:rPr>
          <w:lang w:eastAsia="es-BO"/>
        </w:rPr>
        <w:t>Plantilla y contenido solicitado</w:t>
      </w:r>
      <w:r w:rsidR="003220AA" w:rsidRPr="00F6693D">
        <w:rPr>
          <w:lang w:eastAsia="es-BO"/>
        </w:rPr>
        <w:t xml:space="preserve"> a los sectores</w:t>
      </w:r>
    </w:p>
    <w:p w14:paraId="77A09549" w14:textId="77777777" w:rsidR="00F13E77" w:rsidRPr="00F6693D" w:rsidRDefault="00F13E77" w:rsidP="0025616F">
      <w:pPr>
        <w:jc w:val="center"/>
        <w:rPr>
          <w:b/>
          <w:sz w:val="40"/>
          <w:lang w:eastAsia="es-BO"/>
        </w:rPr>
      </w:pPr>
      <w:r w:rsidRPr="00F6693D">
        <w:rPr>
          <w:b/>
          <w:sz w:val="40"/>
          <w:lang w:eastAsia="es-BO"/>
        </w:rPr>
        <w:t>Información Sectorial para la NDC 3.0</w:t>
      </w:r>
    </w:p>
    <w:p w14:paraId="668C0402" w14:textId="11C2AFB3" w:rsidR="00C73184" w:rsidRPr="00F6693D" w:rsidRDefault="00C73184" w:rsidP="00C73184">
      <w:pPr>
        <w:jc w:val="center"/>
        <w:rPr>
          <w:lang w:eastAsia="es-BO"/>
        </w:rPr>
      </w:pPr>
      <w:r w:rsidRPr="00F6693D">
        <w:rPr>
          <w:lang w:eastAsia="es-BO"/>
        </w:rPr>
        <w:t>[</w:t>
      </w:r>
      <w:r w:rsidR="00EE24D1" w:rsidRPr="00F6693D">
        <w:rPr>
          <w:lang w:eastAsia="es-BO"/>
        </w:rPr>
        <w:t>Sub-sector de residuos</w:t>
      </w:r>
      <w:r w:rsidRPr="00F6693D">
        <w:rPr>
          <w:lang w:eastAsia="es-BO"/>
        </w:rPr>
        <w:t>]</w:t>
      </w:r>
    </w:p>
    <w:p w14:paraId="2482BB16" w14:textId="77777777" w:rsidR="00184AF7" w:rsidRPr="00F6693D" w:rsidRDefault="00184AF7" w:rsidP="00C73184">
      <w:pPr>
        <w:jc w:val="center"/>
        <w:rPr>
          <w:lang w:eastAsia="es-BO"/>
        </w:rPr>
      </w:pPr>
    </w:p>
    <w:sdt>
      <w:sdtPr>
        <w:rPr>
          <w:rFonts w:ascii="Times New Roman" w:eastAsiaTheme="minorHAnsi" w:hAnsi="Times New Roman" w:cstheme="minorBidi"/>
          <w:color w:val="auto"/>
          <w:sz w:val="24"/>
          <w:szCs w:val="22"/>
          <w:lang w:val="es-ES" w:eastAsia="en-US"/>
        </w:rPr>
        <w:id w:val="-1955779377"/>
        <w:docPartObj>
          <w:docPartGallery w:val="Table of Contents"/>
          <w:docPartUnique/>
        </w:docPartObj>
      </w:sdtPr>
      <w:sdtEndPr>
        <w:rPr>
          <w:b/>
          <w:bCs/>
        </w:rPr>
      </w:sdtEndPr>
      <w:sdtContent>
        <w:p w14:paraId="5E5E806E" w14:textId="77777777" w:rsidR="00852573" w:rsidRPr="00F6693D" w:rsidRDefault="00852573">
          <w:pPr>
            <w:pStyle w:val="TtuloTDC"/>
          </w:pPr>
          <w:r w:rsidRPr="00F6693D">
            <w:rPr>
              <w:lang w:val="es-ES"/>
            </w:rPr>
            <w:t>Contenido</w:t>
          </w:r>
          <w:r w:rsidR="00184AF7" w:rsidRPr="00F6693D">
            <w:rPr>
              <w:lang w:val="es-ES"/>
            </w:rPr>
            <w:t xml:space="preserve"> a remitir:</w:t>
          </w:r>
        </w:p>
        <w:p w14:paraId="6A71F438" w14:textId="77777777" w:rsidR="00010E81" w:rsidRPr="00F6693D" w:rsidRDefault="00852573">
          <w:pPr>
            <w:pStyle w:val="TDC1"/>
            <w:tabs>
              <w:tab w:val="left" w:pos="480"/>
              <w:tab w:val="right" w:leader="dot" w:pos="8494"/>
            </w:tabs>
            <w:rPr>
              <w:rFonts w:asciiTheme="minorHAnsi" w:eastAsiaTheme="minorEastAsia" w:hAnsiTheme="minorHAnsi"/>
              <w:noProof/>
              <w:sz w:val="22"/>
              <w:lang w:eastAsia="es-BO"/>
            </w:rPr>
          </w:pPr>
          <w:r w:rsidRPr="00F6693D">
            <w:fldChar w:fldCharType="begin"/>
          </w:r>
          <w:r w:rsidRPr="00F6693D">
            <w:instrText xml:space="preserve"> TOC \o "1-3" \h \z \u </w:instrText>
          </w:r>
          <w:r w:rsidRPr="00F6693D">
            <w:fldChar w:fldCharType="separate"/>
          </w:r>
          <w:hyperlink w:anchor="_Toc203484718" w:history="1">
            <w:r w:rsidR="00010E81" w:rsidRPr="00F6693D">
              <w:rPr>
                <w:rStyle w:val="Hipervnculo"/>
                <w:rFonts w:eastAsia="Times New Roman"/>
                <w:noProof/>
                <w:lang w:eastAsia="es-BO"/>
              </w:rPr>
              <w:t>1</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Información general del sector</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_Toc203484718 \h </w:instrText>
            </w:r>
            <w:r w:rsidR="00010E81" w:rsidRPr="00F6693D">
              <w:rPr>
                <w:noProof/>
                <w:webHidden/>
              </w:rPr>
            </w:r>
            <w:r w:rsidR="00010E81" w:rsidRPr="00F6693D">
              <w:rPr>
                <w:noProof/>
                <w:webHidden/>
              </w:rPr>
              <w:fldChar w:fldCharType="separate"/>
            </w:r>
            <w:r w:rsidR="00010E81" w:rsidRPr="00F6693D">
              <w:rPr>
                <w:noProof/>
                <w:webHidden/>
              </w:rPr>
              <w:t>2</w:t>
            </w:r>
            <w:r w:rsidR="00010E81" w:rsidRPr="00F6693D">
              <w:rPr>
                <w:noProof/>
                <w:webHidden/>
              </w:rPr>
              <w:fldChar w:fldCharType="end"/>
            </w:r>
          </w:hyperlink>
        </w:p>
        <w:p w14:paraId="30B2F6A4"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19" w:history="1">
            <w:r w:rsidR="00010E81" w:rsidRPr="00F6693D">
              <w:rPr>
                <w:rStyle w:val="Hipervnculo"/>
                <w:noProof/>
              </w:rPr>
              <w:t>1.1</w:t>
            </w:r>
            <w:r w:rsidR="00010E81" w:rsidRPr="00F6693D">
              <w:rPr>
                <w:rFonts w:asciiTheme="minorHAnsi" w:eastAsiaTheme="minorEastAsia" w:hAnsiTheme="minorHAnsi"/>
                <w:noProof/>
                <w:sz w:val="22"/>
                <w:lang w:eastAsia="es-BO"/>
              </w:rPr>
              <w:tab/>
            </w:r>
            <w:r w:rsidR="00010E81" w:rsidRPr="00F6693D">
              <w:rPr>
                <w:rStyle w:val="Hipervnculo"/>
                <w:noProof/>
              </w:rPr>
              <w:t>Caracterización breve del sector [agropecuario] en Bolivia</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_Toc203484719 \h </w:instrText>
            </w:r>
            <w:r w:rsidR="00010E81" w:rsidRPr="00F6693D">
              <w:rPr>
                <w:noProof/>
                <w:webHidden/>
              </w:rPr>
            </w:r>
            <w:r w:rsidR="00010E81" w:rsidRPr="00F6693D">
              <w:rPr>
                <w:noProof/>
                <w:webHidden/>
              </w:rPr>
              <w:fldChar w:fldCharType="separate"/>
            </w:r>
            <w:r w:rsidR="00010E81" w:rsidRPr="00F6693D">
              <w:rPr>
                <w:noProof/>
                <w:webHidden/>
              </w:rPr>
              <w:t>2</w:t>
            </w:r>
            <w:r w:rsidR="00010E81" w:rsidRPr="00F6693D">
              <w:rPr>
                <w:noProof/>
                <w:webHidden/>
              </w:rPr>
              <w:fldChar w:fldCharType="end"/>
            </w:r>
          </w:hyperlink>
        </w:p>
        <w:p w14:paraId="5CACB370"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20" w:history="1">
            <w:r w:rsidR="00010E81" w:rsidRPr="00F6693D">
              <w:rPr>
                <w:rStyle w:val="Hipervnculo"/>
                <w:noProof/>
              </w:rPr>
              <w:t>1.2</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Principales fuentes de emisiones</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_Toc203484720 \h </w:instrText>
            </w:r>
            <w:r w:rsidR="00010E81" w:rsidRPr="00F6693D">
              <w:rPr>
                <w:noProof/>
                <w:webHidden/>
              </w:rPr>
            </w:r>
            <w:r w:rsidR="00010E81" w:rsidRPr="00F6693D">
              <w:rPr>
                <w:noProof/>
                <w:webHidden/>
              </w:rPr>
              <w:fldChar w:fldCharType="separate"/>
            </w:r>
            <w:r w:rsidR="00010E81" w:rsidRPr="00F6693D">
              <w:rPr>
                <w:noProof/>
                <w:webHidden/>
              </w:rPr>
              <w:t>2</w:t>
            </w:r>
            <w:r w:rsidR="00010E81" w:rsidRPr="00F6693D">
              <w:rPr>
                <w:noProof/>
                <w:webHidden/>
              </w:rPr>
              <w:fldChar w:fldCharType="end"/>
            </w:r>
          </w:hyperlink>
        </w:p>
        <w:p w14:paraId="686CC2ED"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21" w:history="1">
            <w:r w:rsidR="00010E81" w:rsidRPr="00F6693D">
              <w:rPr>
                <w:rStyle w:val="Hipervnculo"/>
                <w:noProof/>
              </w:rPr>
              <w:t>1.3</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Principales vulnerabilidades climáticas del sector [agropecuario]</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_Toc203484721 \h </w:instrText>
            </w:r>
            <w:r w:rsidR="00010E81" w:rsidRPr="00F6693D">
              <w:rPr>
                <w:noProof/>
                <w:webHidden/>
              </w:rPr>
            </w:r>
            <w:r w:rsidR="00010E81" w:rsidRPr="00F6693D">
              <w:rPr>
                <w:noProof/>
                <w:webHidden/>
              </w:rPr>
              <w:fldChar w:fldCharType="separate"/>
            </w:r>
            <w:r w:rsidR="00010E81" w:rsidRPr="00F6693D">
              <w:rPr>
                <w:noProof/>
                <w:webHidden/>
              </w:rPr>
              <w:t>2</w:t>
            </w:r>
            <w:r w:rsidR="00010E81" w:rsidRPr="00F6693D">
              <w:rPr>
                <w:noProof/>
                <w:webHidden/>
              </w:rPr>
              <w:fldChar w:fldCharType="end"/>
            </w:r>
          </w:hyperlink>
        </w:p>
        <w:p w14:paraId="2F7EE5E0" w14:textId="77777777" w:rsidR="00010E81" w:rsidRPr="00F6693D" w:rsidRDefault="002A1B2B">
          <w:pPr>
            <w:pStyle w:val="TDC1"/>
            <w:tabs>
              <w:tab w:val="left" w:pos="480"/>
              <w:tab w:val="right" w:leader="dot" w:pos="8494"/>
            </w:tabs>
            <w:rPr>
              <w:rFonts w:asciiTheme="minorHAnsi" w:eastAsiaTheme="minorEastAsia" w:hAnsiTheme="minorHAnsi"/>
              <w:noProof/>
              <w:sz w:val="22"/>
              <w:lang w:eastAsia="es-BO"/>
            </w:rPr>
          </w:pPr>
          <w:hyperlink w:anchor="_Toc203484722" w:history="1">
            <w:r w:rsidR="00010E81" w:rsidRPr="00F6693D">
              <w:rPr>
                <w:rStyle w:val="Hipervnculo"/>
                <w:rFonts w:eastAsia="Times New Roman"/>
                <w:noProof/>
                <w:lang w:eastAsia="es-BO"/>
              </w:rPr>
              <w:t>2</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Metas del sector [agropecuario]</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_Toc203484722 \h </w:instrText>
            </w:r>
            <w:r w:rsidR="00010E81" w:rsidRPr="00F6693D">
              <w:rPr>
                <w:noProof/>
                <w:webHidden/>
              </w:rPr>
            </w:r>
            <w:r w:rsidR="00010E81" w:rsidRPr="00F6693D">
              <w:rPr>
                <w:noProof/>
                <w:webHidden/>
              </w:rPr>
              <w:fldChar w:fldCharType="separate"/>
            </w:r>
            <w:r w:rsidR="00010E81" w:rsidRPr="00F6693D">
              <w:rPr>
                <w:noProof/>
                <w:webHidden/>
              </w:rPr>
              <w:t>3</w:t>
            </w:r>
            <w:r w:rsidR="00010E81" w:rsidRPr="00F6693D">
              <w:rPr>
                <w:noProof/>
                <w:webHidden/>
              </w:rPr>
              <w:fldChar w:fldCharType="end"/>
            </w:r>
          </w:hyperlink>
        </w:p>
        <w:p w14:paraId="32458BCE"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23" w:history="1">
            <w:r w:rsidR="00010E81" w:rsidRPr="00F6693D">
              <w:rPr>
                <w:rStyle w:val="Hipervnculo"/>
                <w:noProof/>
              </w:rPr>
              <w:t>2.1</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 xml:space="preserve">Meta sectorial global de </w:t>
            </w:r>
            <w:r w:rsidR="00010E81" w:rsidRPr="00F6693D">
              <w:rPr>
                <w:rStyle w:val="Hipervnculo"/>
                <w:rFonts w:eastAsia="Times New Roman"/>
                <w:noProof/>
                <w:highlight w:val="yellow"/>
                <w:lang w:eastAsia="es-BO"/>
              </w:rPr>
              <w:t>mitigación</w:t>
            </w:r>
            <w:r w:rsidR="00010E81" w:rsidRPr="00F6693D">
              <w:rPr>
                <w:rStyle w:val="Hipervnculo"/>
                <w:rFonts w:eastAsia="Times New Roman"/>
                <w:noProof/>
                <w:lang w:eastAsia="es-BO"/>
              </w:rPr>
              <w:t xml:space="preserve"> del sector [agropecuario]</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_Toc203484723 \h </w:instrText>
            </w:r>
            <w:r w:rsidR="00010E81" w:rsidRPr="00F6693D">
              <w:rPr>
                <w:noProof/>
                <w:webHidden/>
              </w:rPr>
            </w:r>
            <w:r w:rsidR="00010E81" w:rsidRPr="00F6693D">
              <w:rPr>
                <w:noProof/>
                <w:webHidden/>
              </w:rPr>
              <w:fldChar w:fldCharType="separate"/>
            </w:r>
            <w:r w:rsidR="00010E81" w:rsidRPr="00F6693D">
              <w:rPr>
                <w:noProof/>
                <w:webHidden/>
              </w:rPr>
              <w:t>3</w:t>
            </w:r>
            <w:r w:rsidR="00010E81" w:rsidRPr="00F6693D">
              <w:rPr>
                <w:noProof/>
                <w:webHidden/>
              </w:rPr>
              <w:fldChar w:fldCharType="end"/>
            </w:r>
          </w:hyperlink>
        </w:p>
        <w:p w14:paraId="311137FA" w14:textId="77777777" w:rsidR="00010E81" w:rsidRPr="00F6693D" w:rsidRDefault="002A1B2B">
          <w:pPr>
            <w:pStyle w:val="TDC3"/>
            <w:tabs>
              <w:tab w:val="left" w:pos="1320"/>
              <w:tab w:val="right" w:leader="dot" w:pos="8494"/>
            </w:tabs>
            <w:rPr>
              <w:rFonts w:asciiTheme="minorHAnsi" w:eastAsiaTheme="minorEastAsia" w:hAnsiTheme="minorHAnsi"/>
              <w:noProof/>
              <w:sz w:val="22"/>
              <w:lang w:eastAsia="es-BO"/>
            </w:rPr>
          </w:pPr>
          <w:hyperlink w:anchor="_Toc203484724" w:history="1">
            <w:r w:rsidR="00010E81" w:rsidRPr="00F6693D">
              <w:rPr>
                <w:rStyle w:val="Hipervnculo"/>
                <w:noProof/>
              </w:rPr>
              <w:t>2.1.1</w:t>
            </w:r>
            <w:r w:rsidR="00010E81" w:rsidRPr="00F6693D">
              <w:rPr>
                <w:rFonts w:asciiTheme="minorHAnsi" w:eastAsiaTheme="minorEastAsia" w:hAnsiTheme="minorHAnsi"/>
                <w:noProof/>
                <w:sz w:val="22"/>
                <w:lang w:eastAsia="es-BO"/>
              </w:rPr>
              <w:tab/>
            </w:r>
            <w:r w:rsidR="00010E81" w:rsidRPr="00F6693D">
              <w:rPr>
                <w:rStyle w:val="Hipervnculo"/>
                <w:noProof/>
              </w:rPr>
              <w:t>Metas 1</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_Toc203484724 \h </w:instrText>
            </w:r>
            <w:r w:rsidR="00010E81" w:rsidRPr="00F6693D">
              <w:rPr>
                <w:noProof/>
                <w:webHidden/>
              </w:rPr>
            </w:r>
            <w:r w:rsidR="00010E81" w:rsidRPr="00F6693D">
              <w:rPr>
                <w:noProof/>
                <w:webHidden/>
              </w:rPr>
              <w:fldChar w:fldCharType="separate"/>
            </w:r>
            <w:r w:rsidR="00010E81" w:rsidRPr="00F6693D">
              <w:rPr>
                <w:noProof/>
                <w:webHidden/>
              </w:rPr>
              <w:t>3</w:t>
            </w:r>
            <w:r w:rsidR="00010E81" w:rsidRPr="00F6693D">
              <w:rPr>
                <w:noProof/>
                <w:webHidden/>
              </w:rPr>
              <w:fldChar w:fldCharType="end"/>
            </w:r>
          </w:hyperlink>
        </w:p>
        <w:p w14:paraId="7C9D3900" w14:textId="77777777" w:rsidR="00010E81" w:rsidRPr="00F6693D" w:rsidRDefault="002A1B2B">
          <w:pPr>
            <w:pStyle w:val="TDC3"/>
            <w:tabs>
              <w:tab w:val="left" w:pos="1320"/>
              <w:tab w:val="right" w:leader="dot" w:pos="8494"/>
            </w:tabs>
            <w:rPr>
              <w:rFonts w:asciiTheme="minorHAnsi" w:eastAsiaTheme="minorEastAsia" w:hAnsiTheme="minorHAnsi"/>
              <w:noProof/>
              <w:sz w:val="22"/>
              <w:lang w:eastAsia="es-BO"/>
            </w:rPr>
          </w:pPr>
          <w:hyperlink w:anchor="_Toc203484725" w:history="1">
            <w:r w:rsidR="00010E81" w:rsidRPr="00F6693D">
              <w:rPr>
                <w:rStyle w:val="Hipervnculo"/>
                <w:noProof/>
              </w:rPr>
              <w:t>2.1.2</w:t>
            </w:r>
            <w:r w:rsidR="00010E81" w:rsidRPr="00F6693D">
              <w:rPr>
                <w:rFonts w:asciiTheme="minorHAnsi" w:eastAsiaTheme="minorEastAsia" w:hAnsiTheme="minorHAnsi"/>
                <w:noProof/>
                <w:sz w:val="22"/>
                <w:lang w:eastAsia="es-BO"/>
              </w:rPr>
              <w:tab/>
            </w:r>
            <w:r w:rsidR="00010E81" w:rsidRPr="00F6693D">
              <w:rPr>
                <w:rStyle w:val="Hipervnculo"/>
                <w:noProof/>
              </w:rPr>
              <w:t>Metas […]</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_Toc203484725 \h </w:instrText>
            </w:r>
            <w:r w:rsidR="00010E81" w:rsidRPr="00F6693D">
              <w:rPr>
                <w:noProof/>
                <w:webHidden/>
              </w:rPr>
            </w:r>
            <w:r w:rsidR="00010E81" w:rsidRPr="00F6693D">
              <w:rPr>
                <w:noProof/>
                <w:webHidden/>
              </w:rPr>
              <w:fldChar w:fldCharType="separate"/>
            </w:r>
            <w:r w:rsidR="00010E81" w:rsidRPr="00F6693D">
              <w:rPr>
                <w:noProof/>
                <w:webHidden/>
              </w:rPr>
              <w:t>4</w:t>
            </w:r>
            <w:r w:rsidR="00010E81" w:rsidRPr="00F6693D">
              <w:rPr>
                <w:noProof/>
                <w:webHidden/>
              </w:rPr>
              <w:fldChar w:fldCharType="end"/>
            </w:r>
          </w:hyperlink>
        </w:p>
        <w:p w14:paraId="36A0A445"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26" w:history="1">
            <w:r w:rsidR="00010E81" w:rsidRPr="00F6693D">
              <w:rPr>
                <w:rStyle w:val="Hipervnculo"/>
                <w:noProof/>
              </w:rPr>
              <w:t>2.2</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rPr>
              <w:t xml:space="preserve">Meta sectorial global de </w:t>
            </w:r>
            <w:r w:rsidR="00010E81" w:rsidRPr="00F6693D">
              <w:rPr>
                <w:rStyle w:val="Hipervnculo"/>
                <w:rFonts w:eastAsia="Times New Roman"/>
                <w:noProof/>
                <w:highlight w:val="yellow"/>
              </w:rPr>
              <w:t>adaptación</w:t>
            </w:r>
            <w:r w:rsidR="00010E81" w:rsidRPr="00F6693D">
              <w:rPr>
                <w:rStyle w:val="Hipervnculo"/>
                <w:rFonts w:eastAsia="Times New Roman"/>
                <w:noProof/>
              </w:rPr>
              <w:t xml:space="preserve"> del sector [agropecuario]</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_Toc203484726 \h </w:instrText>
            </w:r>
            <w:r w:rsidR="00010E81" w:rsidRPr="00F6693D">
              <w:rPr>
                <w:noProof/>
                <w:webHidden/>
              </w:rPr>
            </w:r>
            <w:r w:rsidR="00010E81" w:rsidRPr="00F6693D">
              <w:rPr>
                <w:noProof/>
                <w:webHidden/>
              </w:rPr>
              <w:fldChar w:fldCharType="separate"/>
            </w:r>
            <w:r w:rsidR="00010E81" w:rsidRPr="00F6693D">
              <w:rPr>
                <w:noProof/>
                <w:webHidden/>
              </w:rPr>
              <w:t>4</w:t>
            </w:r>
            <w:r w:rsidR="00010E81" w:rsidRPr="00F6693D">
              <w:rPr>
                <w:noProof/>
                <w:webHidden/>
              </w:rPr>
              <w:fldChar w:fldCharType="end"/>
            </w:r>
          </w:hyperlink>
        </w:p>
        <w:p w14:paraId="4BCABADD" w14:textId="77777777" w:rsidR="00010E81" w:rsidRPr="00F6693D" w:rsidRDefault="002A1B2B">
          <w:pPr>
            <w:pStyle w:val="TDC3"/>
            <w:tabs>
              <w:tab w:val="left" w:pos="1320"/>
              <w:tab w:val="right" w:leader="dot" w:pos="8494"/>
            </w:tabs>
            <w:rPr>
              <w:rFonts w:asciiTheme="minorHAnsi" w:eastAsiaTheme="minorEastAsia" w:hAnsiTheme="minorHAnsi"/>
              <w:noProof/>
              <w:sz w:val="22"/>
              <w:lang w:eastAsia="es-BO"/>
            </w:rPr>
          </w:pPr>
          <w:hyperlink w:anchor="_Toc203484727" w:history="1">
            <w:r w:rsidR="00010E81" w:rsidRPr="00F6693D">
              <w:rPr>
                <w:rStyle w:val="Hipervnculo"/>
                <w:noProof/>
              </w:rPr>
              <w:t>2.2.1</w:t>
            </w:r>
            <w:r w:rsidR="00010E81" w:rsidRPr="00F6693D">
              <w:rPr>
                <w:rFonts w:asciiTheme="minorHAnsi" w:eastAsiaTheme="minorEastAsia" w:hAnsiTheme="minorHAnsi"/>
                <w:noProof/>
                <w:sz w:val="22"/>
                <w:lang w:eastAsia="es-BO"/>
              </w:rPr>
              <w:tab/>
            </w:r>
            <w:r w:rsidR="00010E81" w:rsidRPr="00F6693D">
              <w:rPr>
                <w:rStyle w:val="Hipervnculo"/>
                <w:noProof/>
              </w:rPr>
              <w:t>Metas 2 [continua numeración de metas]</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_Toc203484727 \h </w:instrText>
            </w:r>
            <w:r w:rsidR="00010E81" w:rsidRPr="00F6693D">
              <w:rPr>
                <w:noProof/>
                <w:webHidden/>
              </w:rPr>
            </w:r>
            <w:r w:rsidR="00010E81" w:rsidRPr="00F6693D">
              <w:rPr>
                <w:noProof/>
                <w:webHidden/>
              </w:rPr>
              <w:fldChar w:fldCharType="separate"/>
            </w:r>
            <w:r w:rsidR="00010E81" w:rsidRPr="00F6693D">
              <w:rPr>
                <w:noProof/>
                <w:webHidden/>
              </w:rPr>
              <w:t>5</w:t>
            </w:r>
            <w:r w:rsidR="00010E81" w:rsidRPr="00F6693D">
              <w:rPr>
                <w:noProof/>
                <w:webHidden/>
              </w:rPr>
              <w:fldChar w:fldCharType="end"/>
            </w:r>
          </w:hyperlink>
        </w:p>
        <w:p w14:paraId="3B6F9B49" w14:textId="77777777" w:rsidR="00010E81" w:rsidRPr="00F6693D" w:rsidRDefault="002A1B2B">
          <w:pPr>
            <w:pStyle w:val="TDC3"/>
            <w:tabs>
              <w:tab w:val="left" w:pos="1320"/>
              <w:tab w:val="right" w:leader="dot" w:pos="8494"/>
            </w:tabs>
            <w:rPr>
              <w:rFonts w:asciiTheme="minorHAnsi" w:eastAsiaTheme="minorEastAsia" w:hAnsiTheme="minorHAnsi"/>
              <w:noProof/>
              <w:sz w:val="22"/>
              <w:lang w:eastAsia="es-BO"/>
            </w:rPr>
          </w:pPr>
          <w:hyperlink w:anchor="_Toc203484728" w:history="1">
            <w:r w:rsidR="00010E81" w:rsidRPr="00F6693D">
              <w:rPr>
                <w:rStyle w:val="Hipervnculo"/>
                <w:noProof/>
              </w:rPr>
              <w:t>2.2.2</w:t>
            </w:r>
            <w:r w:rsidR="00010E81" w:rsidRPr="00F6693D">
              <w:rPr>
                <w:rFonts w:asciiTheme="minorHAnsi" w:eastAsiaTheme="minorEastAsia" w:hAnsiTheme="minorHAnsi"/>
                <w:noProof/>
                <w:sz w:val="22"/>
                <w:lang w:eastAsia="es-BO"/>
              </w:rPr>
              <w:tab/>
            </w:r>
            <w:r w:rsidR="00010E81" w:rsidRPr="00F6693D">
              <w:rPr>
                <w:rStyle w:val="Hipervnculo"/>
                <w:noProof/>
              </w:rPr>
              <w:t>Metas […]</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_Toc203484728 \h </w:instrText>
            </w:r>
            <w:r w:rsidR="00010E81" w:rsidRPr="00F6693D">
              <w:rPr>
                <w:noProof/>
                <w:webHidden/>
              </w:rPr>
            </w:r>
            <w:r w:rsidR="00010E81" w:rsidRPr="00F6693D">
              <w:rPr>
                <w:noProof/>
                <w:webHidden/>
              </w:rPr>
              <w:fldChar w:fldCharType="separate"/>
            </w:r>
            <w:r w:rsidR="00010E81" w:rsidRPr="00F6693D">
              <w:rPr>
                <w:noProof/>
                <w:webHidden/>
              </w:rPr>
              <w:t>6</w:t>
            </w:r>
            <w:r w:rsidR="00010E81" w:rsidRPr="00F6693D">
              <w:rPr>
                <w:noProof/>
                <w:webHidden/>
              </w:rPr>
              <w:fldChar w:fldCharType="end"/>
            </w:r>
          </w:hyperlink>
        </w:p>
        <w:p w14:paraId="43A501AE"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29" w:history="1">
            <w:r w:rsidR="00010E81" w:rsidRPr="00F6693D">
              <w:rPr>
                <w:rStyle w:val="Hipervnculo"/>
                <w:noProof/>
              </w:rPr>
              <w:t>2.3</w:t>
            </w:r>
            <w:r w:rsidR="00010E81" w:rsidRPr="00F6693D">
              <w:rPr>
                <w:rFonts w:asciiTheme="minorHAnsi" w:eastAsiaTheme="minorEastAsia" w:hAnsiTheme="minorHAnsi"/>
                <w:noProof/>
                <w:sz w:val="22"/>
                <w:lang w:eastAsia="es-BO"/>
              </w:rPr>
              <w:tab/>
            </w:r>
            <w:r w:rsidR="00010E81" w:rsidRPr="00F6693D">
              <w:rPr>
                <w:rStyle w:val="Hipervnculo"/>
                <w:noProof/>
              </w:rPr>
              <w:t xml:space="preserve">Enfoques </w:t>
            </w:r>
            <w:r w:rsidR="00010E81" w:rsidRPr="00F6693D">
              <w:rPr>
                <w:rStyle w:val="Hipervnculo"/>
                <w:noProof/>
                <w:highlight w:val="yellow"/>
              </w:rPr>
              <w:t>transversales</w:t>
            </w:r>
            <w:r w:rsidR="00010E81" w:rsidRPr="00F6693D">
              <w:rPr>
                <w:rStyle w:val="Hipervnculo"/>
                <w:noProof/>
              </w:rPr>
              <w:t xml:space="preserve"> identificados por el sector</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_Toc203484729 \h </w:instrText>
            </w:r>
            <w:r w:rsidR="00010E81" w:rsidRPr="00F6693D">
              <w:rPr>
                <w:noProof/>
                <w:webHidden/>
              </w:rPr>
            </w:r>
            <w:r w:rsidR="00010E81" w:rsidRPr="00F6693D">
              <w:rPr>
                <w:noProof/>
                <w:webHidden/>
              </w:rPr>
              <w:fldChar w:fldCharType="separate"/>
            </w:r>
            <w:r w:rsidR="00010E81" w:rsidRPr="00F6693D">
              <w:rPr>
                <w:noProof/>
                <w:webHidden/>
              </w:rPr>
              <w:t>6</w:t>
            </w:r>
            <w:r w:rsidR="00010E81" w:rsidRPr="00F6693D">
              <w:rPr>
                <w:noProof/>
                <w:webHidden/>
              </w:rPr>
              <w:fldChar w:fldCharType="end"/>
            </w:r>
          </w:hyperlink>
        </w:p>
        <w:p w14:paraId="2C3E58F6"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30" w:history="1">
            <w:r w:rsidR="00010E81" w:rsidRPr="00F6693D">
              <w:rPr>
                <w:rStyle w:val="Hipervnculo"/>
                <w:noProof/>
              </w:rPr>
              <w:t>2.4</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Contribución integral y cobeneficios del sector</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_Toc203484730 \h </w:instrText>
            </w:r>
            <w:r w:rsidR="00010E81" w:rsidRPr="00F6693D">
              <w:rPr>
                <w:noProof/>
                <w:webHidden/>
              </w:rPr>
            </w:r>
            <w:r w:rsidR="00010E81" w:rsidRPr="00F6693D">
              <w:rPr>
                <w:noProof/>
                <w:webHidden/>
              </w:rPr>
              <w:fldChar w:fldCharType="separate"/>
            </w:r>
            <w:r w:rsidR="00010E81" w:rsidRPr="00F6693D">
              <w:rPr>
                <w:noProof/>
                <w:webHidden/>
              </w:rPr>
              <w:t>7</w:t>
            </w:r>
            <w:r w:rsidR="00010E81" w:rsidRPr="00F6693D">
              <w:rPr>
                <w:noProof/>
                <w:webHidden/>
              </w:rPr>
              <w:fldChar w:fldCharType="end"/>
            </w:r>
          </w:hyperlink>
        </w:p>
        <w:p w14:paraId="6EE7ACA8" w14:textId="77777777" w:rsidR="00010E81" w:rsidRPr="00F6693D" w:rsidRDefault="002A1B2B">
          <w:pPr>
            <w:pStyle w:val="TDC1"/>
            <w:tabs>
              <w:tab w:val="left" w:pos="480"/>
              <w:tab w:val="right" w:leader="dot" w:pos="8494"/>
            </w:tabs>
            <w:rPr>
              <w:rFonts w:asciiTheme="minorHAnsi" w:eastAsiaTheme="minorEastAsia" w:hAnsiTheme="minorHAnsi"/>
              <w:noProof/>
              <w:sz w:val="22"/>
              <w:lang w:eastAsia="es-BO"/>
            </w:rPr>
          </w:pPr>
          <w:hyperlink w:anchor="_Toc203484731" w:history="1">
            <w:r w:rsidR="00010E81" w:rsidRPr="00F6693D">
              <w:rPr>
                <w:rStyle w:val="Hipervnculo"/>
                <w:noProof/>
              </w:rPr>
              <w:t>3</w:t>
            </w:r>
            <w:r w:rsidR="00010E81" w:rsidRPr="00F6693D">
              <w:rPr>
                <w:rFonts w:asciiTheme="minorHAnsi" w:eastAsiaTheme="minorEastAsia" w:hAnsiTheme="minorHAnsi"/>
                <w:noProof/>
                <w:sz w:val="22"/>
                <w:lang w:eastAsia="es-BO"/>
              </w:rPr>
              <w:tab/>
            </w:r>
            <w:r w:rsidR="00010E81" w:rsidRPr="00F6693D">
              <w:rPr>
                <w:rStyle w:val="Hipervnculo"/>
                <w:noProof/>
              </w:rPr>
              <w:t>Lista de referencias (formato APA)</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_Toc203484731 \h </w:instrText>
            </w:r>
            <w:r w:rsidR="00010E81" w:rsidRPr="00F6693D">
              <w:rPr>
                <w:noProof/>
                <w:webHidden/>
              </w:rPr>
            </w:r>
            <w:r w:rsidR="00010E81" w:rsidRPr="00F6693D">
              <w:rPr>
                <w:noProof/>
                <w:webHidden/>
              </w:rPr>
              <w:fldChar w:fldCharType="separate"/>
            </w:r>
            <w:r w:rsidR="00010E81" w:rsidRPr="00F6693D">
              <w:rPr>
                <w:noProof/>
                <w:webHidden/>
              </w:rPr>
              <w:t>7</w:t>
            </w:r>
            <w:r w:rsidR="00010E81" w:rsidRPr="00F6693D">
              <w:rPr>
                <w:noProof/>
                <w:webHidden/>
              </w:rPr>
              <w:fldChar w:fldCharType="end"/>
            </w:r>
          </w:hyperlink>
        </w:p>
        <w:p w14:paraId="48D79A53" w14:textId="77777777" w:rsidR="00010E81" w:rsidRPr="00F6693D" w:rsidRDefault="002A1B2B">
          <w:pPr>
            <w:pStyle w:val="TDC1"/>
            <w:tabs>
              <w:tab w:val="left" w:pos="480"/>
              <w:tab w:val="right" w:leader="dot" w:pos="8494"/>
            </w:tabs>
            <w:rPr>
              <w:rFonts w:asciiTheme="minorHAnsi" w:eastAsiaTheme="minorEastAsia" w:hAnsiTheme="minorHAnsi"/>
              <w:noProof/>
              <w:sz w:val="22"/>
              <w:lang w:eastAsia="es-BO"/>
            </w:rPr>
          </w:pPr>
          <w:hyperlink w:anchor="_Toc203484732" w:history="1">
            <w:r w:rsidR="00010E81" w:rsidRPr="00F6693D">
              <w:rPr>
                <w:rStyle w:val="Hipervnculo"/>
                <w:rFonts w:eastAsia="Times New Roman"/>
                <w:noProof/>
                <w:lang w:eastAsia="es-BO"/>
              </w:rPr>
              <w:t>4</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Anexos</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_Toc203484732 \h </w:instrText>
            </w:r>
            <w:r w:rsidR="00010E81" w:rsidRPr="00F6693D">
              <w:rPr>
                <w:noProof/>
                <w:webHidden/>
              </w:rPr>
            </w:r>
            <w:r w:rsidR="00010E81" w:rsidRPr="00F6693D">
              <w:rPr>
                <w:noProof/>
                <w:webHidden/>
              </w:rPr>
              <w:fldChar w:fldCharType="separate"/>
            </w:r>
            <w:r w:rsidR="00010E81" w:rsidRPr="00F6693D">
              <w:rPr>
                <w:noProof/>
                <w:webHidden/>
              </w:rPr>
              <w:t>8</w:t>
            </w:r>
            <w:r w:rsidR="00010E81" w:rsidRPr="00F6693D">
              <w:rPr>
                <w:noProof/>
                <w:webHidden/>
              </w:rPr>
              <w:fldChar w:fldCharType="end"/>
            </w:r>
          </w:hyperlink>
        </w:p>
        <w:p w14:paraId="12482E35"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33" w:history="1">
            <w:r w:rsidR="00010E81" w:rsidRPr="00F6693D">
              <w:rPr>
                <w:rStyle w:val="Hipervnculo"/>
                <w:noProof/>
              </w:rPr>
              <w:t>4.1</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Información técnica complementaria</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_Toc203484733 \h </w:instrText>
            </w:r>
            <w:r w:rsidR="00010E81" w:rsidRPr="00F6693D">
              <w:rPr>
                <w:noProof/>
                <w:webHidden/>
              </w:rPr>
            </w:r>
            <w:r w:rsidR="00010E81" w:rsidRPr="00F6693D">
              <w:rPr>
                <w:noProof/>
                <w:webHidden/>
              </w:rPr>
              <w:fldChar w:fldCharType="separate"/>
            </w:r>
            <w:r w:rsidR="00010E81" w:rsidRPr="00F6693D">
              <w:rPr>
                <w:noProof/>
                <w:webHidden/>
              </w:rPr>
              <w:t>8</w:t>
            </w:r>
            <w:r w:rsidR="00010E81" w:rsidRPr="00F6693D">
              <w:rPr>
                <w:noProof/>
                <w:webHidden/>
              </w:rPr>
              <w:fldChar w:fldCharType="end"/>
            </w:r>
          </w:hyperlink>
        </w:p>
        <w:p w14:paraId="762168BD"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34" w:history="1">
            <w:r w:rsidR="00010E81" w:rsidRPr="00F6693D">
              <w:rPr>
                <w:rStyle w:val="Hipervnculo"/>
                <w:noProof/>
              </w:rPr>
              <w:t>4.2</w:t>
            </w:r>
            <w:r w:rsidR="00010E81" w:rsidRPr="00F6693D">
              <w:rPr>
                <w:rFonts w:asciiTheme="minorHAnsi" w:eastAsiaTheme="minorEastAsia" w:hAnsiTheme="minorHAnsi"/>
                <w:noProof/>
                <w:sz w:val="22"/>
                <w:lang w:eastAsia="es-BO"/>
              </w:rPr>
              <w:tab/>
            </w:r>
            <w:r w:rsidR="00010E81" w:rsidRPr="00F6693D">
              <w:rPr>
                <w:rStyle w:val="Hipervnculo"/>
                <w:rFonts w:eastAsia="Times New Roman"/>
                <w:noProof/>
                <w:lang w:eastAsia="es-BO"/>
              </w:rPr>
              <w:t>Costos y mecanismos financieros</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_Toc203484734 \h </w:instrText>
            </w:r>
            <w:r w:rsidR="00010E81" w:rsidRPr="00F6693D">
              <w:rPr>
                <w:noProof/>
                <w:webHidden/>
              </w:rPr>
            </w:r>
            <w:r w:rsidR="00010E81" w:rsidRPr="00F6693D">
              <w:rPr>
                <w:noProof/>
                <w:webHidden/>
              </w:rPr>
              <w:fldChar w:fldCharType="separate"/>
            </w:r>
            <w:r w:rsidR="00010E81" w:rsidRPr="00F6693D">
              <w:rPr>
                <w:noProof/>
                <w:webHidden/>
              </w:rPr>
              <w:t>8</w:t>
            </w:r>
            <w:r w:rsidR="00010E81" w:rsidRPr="00F6693D">
              <w:rPr>
                <w:noProof/>
                <w:webHidden/>
              </w:rPr>
              <w:fldChar w:fldCharType="end"/>
            </w:r>
          </w:hyperlink>
        </w:p>
        <w:p w14:paraId="7ABC116B"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35" w:history="1">
            <w:r w:rsidR="00010E81" w:rsidRPr="00F6693D">
              <w:rPr>
                <w:rStyle w:val="Hipervnculo"/>
                <w:noProof/>
              </w:rPr>
              <w:t>4.3</w:t>
            </w:r>
            <w:r w:rsidR="00010E81" w:rsidRPr="00F6693D">
              <w:rPr>
                <w:rFonts w:asciiTheme="minorHAnsi" w:eastAsiaTheme="minorEastAsia" w:hAnsiTheme="minorHAnsi"/>
                <w:noProof/>
                <w:sz w:val="22"/>
                <w:lang w:eastAsia="es-BO"/>
              </w:rPr>
              <w:tab/>
            </w:r>
            <w:r w:rsidR="00010E81" w:rsidRPr="00F6693D">
              <w:rPr>
                <w:rStyle w:val="Hipervnculo"/>
                <w:noProof/>
              </w:rPr>
              <w:t>Matriz de datos por meta y acción</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_Toc203484735 \h </w:instrText>
            </w:r>
            <w:r w:rsidR="00010E81" w:rsidRPr="00F6693D">
              <w:rPr>
                <w:noProof/>
                <w:webHidden/>
              </w:rPr>
            </w:r>
            <w:r w:rsidR="00010E81" w:rsidRPr="00F6693D">
              <w:rPr>
                <w:noProof/>
                <w:webHidden/>
              </w:rPr>
              <w:fldChar w:fldCharType="separate"/>
            </w:r>
            <w:r w:rsidR="00010E81" w:rsidRPr="00F6693D">
              <w:rPr>
                <w:noProof/>
                <w:webHidden/>
              </w:rPr>
              <w:t>8</w:t>
            </w:r>
            <w:r w:rsidR="00010E81" w:rsidRPr="00F6693D">
              <w:rPr>
                <w:noProof/>
                <w:webHidden/>
              </w:rPr>
              <w:fldChar w:fldCharType="end"/>
            </w:r>
          </w:hyperlink>
        </w:p>
        <w:p w14:paraId="1BF53254" w14:textId="77777777" w:rsidR="00010E81" w:rsidRPr="00F6693D" w:rsidRDefault="002A1B2B">
          <w:pPr>
            <w:pStyle w:val="TDC2"/>
            <w:tabs>
              <w:tab w:val="left" w:pos="880"/>
              <w:tab w:val="right" w:leader="dot" w:pos="8494"/>
            </w:tabs>
            <w:rPr>
              <w:rFonts w:asciiTheme="minorHAnsi" w:eastAsiaTheme="minorEastAsia" w:hAnsiTheme="minorHAnsi"/>
              <w:noProof/>
              <w:sz w:val="22"/>
              <w:lang w:eastAsia="es-BO"/>
            </w:rPr>
          </w:pPr>
          <w:hyperlink w:anchor="_Toc203484736" w:history="1">
            <w:r w:rsidR="00010E81" w:rsidRPr="00F6693D">
              <w:rPr>
                <w:rStyle w:val="Hipervnculo"/>
                <w:noProof/>
              </w:rPr>
              <w:t>4.4</w:t>
            </w:r>
            <w:r w:rsidR="00010E81" w:rsidRPr="00F6693D">
              <w:rPr>
                <w:rFonts w:asciiTheme="minorHAnsi" w:eastAsiaTheme="minorEastAsia" w:hAnsiTheme="minorHAnsi"/>
                <w:noProof/>
                <w:sz w:val="22"/>
                <w:lang w:eastAsia="es-BO"/>
              </w:rPr>
              <w:tab/>
            </w:r>
            <w:r w:rsidR="00010E81" w:rsidRPr="00F6693D">
              <w:rPr>
                <w:rStyle w:val="Hipervnculo"/>
                <w:noProof/>
              </w:rPr>
              <w:t>Documentos técnicos, mapas o estudios de respaldo</w:t>
            </w:r>
            <w:r w:rsidR="00010E81" w:rsidRPr="00F6693D">
              <w:rPr>
                <w:noProof/>
                <w:webHidden/>
              </w:rPr>
              <w:tab/>
            </w:r>
            <w:r w:rsidR="00010E81" w:rsidRPr="00F6693D">
              <w:rPr>
                <w:noProof/>
                <w:webHidden/>
              </w:rPr>
              <w:fldChar w:fldCharType="begin"/>
            </w:r>
            <w:r w:rsidR="00010E81" w:rsidRPr="00F6693D">
              <w:rPr>
                <w:noProof/>
                <w:webHidden/>
              </w:rPr>
              <w:instrText xml:space="preserve"> PAGEREF _Toc203484736 \h </w:instrText>
            </w:r>
            <w:r w:rsidR="00010E81" w:rsidRPr="00F6693D">
              <w:rPr>
                <w:noProof/>
                <w:webHidden/>
              </w:rPr>
            </w:r>
            <w:r w:rsidR="00010E81" w:rsidRPr="00F6693D">
              <w:rPr>
                <w:noProof/>
                <w:webHidden/>
              </w:rPr>
              <w:fldChar w:fldCharType="separate"/>
            </w:r>
            <w:r w:rsidR="00010E81" w:rsidRPr="00F6693D">
              <w:rPr>
                <w:noProof/>
                <w:webHidden/>
              </w:rPr>
              <w:t>8</w:t>
            </w:r>
            <w:r w:rsidR="00010E81" w:rsidRPr="00F6693D">
              <w:rPr>
                <w:noProof/>
                <w:webHidden/>
              </w:rPr>
              <w:fldChar w:fldCharType="end"/>
            </w:r>
          </w:hyperlink>
        </w:p>
        <w:p w14:paraId="28988F1E" w14:textId="77777777" w:rsidR="00852573" w:rsidRPr="00F6693D" w:rsidRDefault="00852573">
          <w:r w:rsidRPr="00F6693D">
            <w:rPr>
              <w:b/>
              <w:bCs/>
              <w:lang w:val="es-ES"/>
            </w:rPr>
            <w:fldChar w:fldCharType="end"/>
          </w:r>
        </w:p>
      </w:sdtContent>
    </w:sdt>
    <w:p w14:paraId="4716A0F2" w14:textId="4A293CFC" w:rsidR="00EE24D1" w:rsidRPr="00F6693D" w:rsidRDefault="00EE24D1" w:rsidP="00EE24D1">
      <w:pPr>
        <w:rPr>
          <w:lang w:eastAsia="es-BO"/>
        </w:rPr>
      </w:pPr>
      <w:bookmarkStart w:id="0" w:name="_Toc203484718"/>
    </w:p>
    <w:p w14:paraId="2B157022" w14:textId="707B80FF" w:rsidR="00EE24D1" w:rsidRPr="00F6693D" w:rsidRDefault="00EE24D1" w:rsidP="00EE24D1">
      <w:pPr>
        <w:rPr>
          <w:lang w:eastAsia="es-BO"/>
        </w:rPr>
      </w:pPr>
    </w:p>
    <w:p w14:paraId="4D109CC3" w14:textId="115AD4DC" w:rsidR="00EE24D1" w:rsidRPr="00F6693D" w:rsidRDefault="00EE24D1" w:rsidP="00EE24D1">
      <w:pPr>
        <w:rPr>
          <w:lang w:eastAsia="es-BO"/>
        </w:rPr>
      </w:pPr>
    </w:p>
    <w:p w14:paraId="64A4C49A" w14:textId="20172921" w:rsidR="00EE24D1" w:rsidRPr="00F6693D" w:rsidRDefault="00EE24D1" w:rsidP="00EE24D1">
      <w:pPr>
        <w:rPr>
          <w:lang w:eastAsia="es-BO"/>
        </w:rPr>
      </w:pPr>
    </w:p>
    <w:p w14:paraId="3391A105" w14:textId="77777777" w:rsidR="00EE24D1" w:rsidRPr="00F6693D" w:rsidRDefault="00EE24D1" w:rsidP="00EE24D1">
      <w:pPr>
        <w:rPr>
          <w:lang w:eastAsia="es-BO"/>
        </w:rPr>
      </w:pPr>
    </w:p>
    <w:p w14:paraId="7FB73A20" w14:textId="0FBC5507" w:rsidR="0025616F" w:rsidRPr="00F6693D" w:rsidRDefault="0025616F" w:rsidP="0025616F">
      <w:pPr>
        <w:pStyle w:val="Ttulo1"/>
        <w:rPr>
          <w:rFonts w:eastAsia="Times New Roman"/>
          <w:lang w:eastAsia="es-BO"/>
        </w:rPr>
      </w:pPr>
      <w:r w:rsidRPr="00F6693D">
        <w:rPr>
          <w:rFonts w:eastAsia="Times New Roman"/>
          <w:lang w:eastAsia="es-BO"/>
        </w:rPr>
        <w:lastRenderedPageBreak/>
        <w:t>Información general del sector</w:t>
      </w:r>
      <w:bookmarkEnd w:id="0"/>
    </w:p>
    <w:p w14:paraId="333DE1BA" w14:textId="056C66E4" w:rsidR="0025616F" w:rsidRPr="00F6693D" w:rsidRDefault="00194402" w:rsidP="00771C01">
      <w:pPr>
        <w:pStyle w:val="Ttulo2"/>
        <w:numPr>
          <w:ilvl w:val="1"/>
          <w:numId w:val="7"/>
        </w:numPr>
        <w:rPr>
          <w:rStyle w:val="Ttulo2Car"/>
          <w:b/>
        </w:rPr>
      </w:pPr>
      <w:bookmarkStart w:id="1" w:name="_Toc203484719"/>
      <w:r>
        <w:rPr>
          <w:rStyle w:val="Ttulo2Car"/>
          <w:b/>
        </w:rPr>
        <w:t xml:space="preserve"> </w:t>
      </w:r>
      <w:r w:rsidR="0025616F" w:rsidRPr="00F6693D">
        <w:rPr>
          <w:rStyle w:val="Ttulo2Car"/>
          <w:b/>
        </w:rPr>
        <w:t xml:space="preserve">Caracterización breve del </w:t>
      </w:r>
      <w:r w:rsidR="00EE24D1" w:rsidRPr="00F6693D">
        <w:rPr>
          <w:rStyle w:val="Ttulo2Car"/>
          <w:b/>
        </w:rPr>
        <w:t>Subsector de residuos</w:t>
      </w:r>
      <w:r w:rsidR="00CB48E0" w:rsidRPr="00F6693D">
        <w:rPr>
          <w:rStyle w:val="Ttulo2Car"/>
          <w:b/>
        </w:rPr>
        <w:t xml:space="preserve"> </w:t>
      </w:r>
      <w:r w:rsidR="0025616F" w:rsidRPr="00F6693D">
        <w:rPr>
          <w:rStyle w:val="Ttulo2Car"/>
          <w:b/>
        </w:rPr>
        <w:t>en Bolivia</w:t>
      </w:r>
      <w:bookmarkEnd w:id="1"/>
    </w:p>
    <w:p w14:paraId="120870C7" w14:textId="7F40EED6" w:rsidR="00CB48E0" w:rsidRPr="00F6693D" w:rsidRDefault="0089138A" w:rsidP="007C6C7E">
      <w:pPr>
        <w:rPr>
          <w:lang w:eastAsia="es-BO"/>
        </w:rPr>
      </w:pPr>
      <w:r w:rsidRPr="0089138A">
        <w:rPr>
          <w:lang w:eastAsia="es-BO"/>
        </w:rPr>
        <w:t xml:space="preserve">El subsector residuos en Bolivia comprende el conjunto de actividades relacionadas con la generación, </w:t>
      </w:r>
      <w:r w:rsidR="00194402">
        <w:rPr>
          <w:lang w:eastAsia="es-BO"/>
        </w:rPr>
        <w:t xml:space="preserve">separación, almacenamiento, </w:t>
      </w:r>
      <w:r w:rsidRPr="0089138A">
        <w:rPr>
          <w:lang w:eastAsia="es-BO"/>
        </w:rPr>
        <w:t xml:space="preserve">recolección, transporte, </w:t>
      </w:r>
      <w:r w:rsidR="00194402">
        <w:rPr>
          <w:lang w:eastAsia="es-BO"/>
        </w:rPr>
        <w:t xml:space="preserve">transferencia, </w:t>
      </w:r>
      <w:r w:rsidRPr="0089138A">
        <w:rPr>
          <w:lang w:eastAsia="es-BO"/>
        </w:rPr>
        <w:t>tratamiento y disposición final de residuos sólidos municipales. En 2024, se estimó una generación nacional de aproximadamente 2,5 millones de toneladas por año, con una tasa de cobertura de recolección del 82 % y una marcada concentración de residuos orgánicos (51 %) en la fracción domiciliaria (MMAyA, 2024). Sin embargo, más del 87 % de los residuos aún se disponen en botaderos a cielo abierto sin tratamiento ni control ambiental, lo que constituye una fuente significativa de emisiones de metano (CH₄). A pesar de los avances normativos y programáticos, el sector enfrenta desafíos estructurales en materia de infraestructura, valorización y resiliencia climática. Su transformación hacia modelos circulares e inclusivos es clave para cumplir las metas de mitigación y adaptación en el marco de la NDC 3.0</w:t>
      </w:r>
      <w:r w:rsidR="007C6C7E" w:rsidRPr="00F6693D">
        <w:rPr>
          <w:lang w:eastAsia="es-BO"/>
        </w:rPr>
        <w:t>.</w:t>
      </w:r>
    </w:p>
    <w:p w14:paraId="483E7E9A" w14:textId="32230B11" w:rsidR="007C6C7E" w:rsidRPr="00194402" w:rsidRDefault="00194402" w:rsidP="00194402">
      <w:pPr>
        <w:pStyle w:val="Prrafodelista"/>
        <w:numPr>
          <w:ilvl w:val="1"/>
          <w:numId w:val="7"/>
        </w:numPr>
        <w:rPr>
          <w:rFonts w:eastAsia="Times New Roman" w:cstheme="majorBidi"/>
          <w:b/>
          <w:szCs w:val="26"/>
          <w:lang w:eastAsia="es-BO"/>
        </w:rPr>
      </w:pPr>
      <w:r>
        <w:rPr>
          <w:rFonts w:eastAsia="Times New Roman" w:cstheme="majorBidi"/>
          <w:b/>
          <w:szCs w:val="26"/>
          <w:lang w:eastAsia="es-BO"/>
        </w:rPr>
        <w:t xml:space="preserve"> </w:t>
      </w:r>
      <w:r w:rsidR="007C6C7E" w:rsidRPr="00194402">
        <w:rPr>
          <w:rFonts w:eastAsia="Times New Roman" w:cstheme="majorBidi"/>
          <w:b/>
          <w:szCs w:val="26"/>
          <w:lang w:eastAsia="es-BO"/>
        </w:rPr>
        <w:t>Principales vulnerabilidades climáticas del subsector residuos</w:t>
      </w:r>
    </w:p>
    <w:p w14:paraId="7D89A11A" w14:textId="77777777" w:rsidR="00194402" w:rsidRDefault="00194402" w:rsidP="007C6C7E">
      <w:pPr>
        <w:rPr>
          <w:lang w:eastAsia="es-BO"/>
        </w:rPr>
      </w:pPr>
      <w:r w:rsidRPr="00194402">
        <w:rPr>
          <w:lang w:eastAsia="es-BO"/>
        </w:rPr>
        <w:t xml:space="preserve">Las emisiones del subsector residuos provienen principalmente de la degradación anaerobia de residuos orgánicos en botaderos abiertos, que genera metano (CH₄) con un alto potencial de calentamiento global. En 2024, se estimaron </w:t>
      </w:r>
      <w:r w:rsidRPr="00194402">
        <w:rPr>
          <w:highlight w:val="yellow"/>
          <w:lang w:eastAsia="es-BO"/>
        </w:rPr>
        <w:t>1.461 Gg CO₂e</w:t>
      </w:r>
      <w:r w:rsidRPr="00194402">
        <w:rPr>
          <w:lang w:eastAsia="es-BO"/>
        </w:rPr>
        <w:t xml:space="preserve"> provenientes del sector, cifra que podría alcanzar </w:t>
      </w:r>
      <w:r w:rsidRPr="00194402">
        <w:rPr>
          <w:highlight w:val="yellow"/>
          <w:lang w:eastAsia="es-BO"/>
        </w:rPr>
        <w:t>1.930 Gg CO₂e</w:t>
      </w:r>
      <w:r w:rsidRPr="00194402">
        <w:rPr>
          <w:lang w:eastAsia="es-BO"/>
        </w:rPr>
        <w:t xml:space="preserve"> al 2035 sin intervenciones estructurales (MMAyA, 2025a). Más del 90 % de estas emisiones provienen de la disposición final no controlada. Otras fuentes incluyen las emisiones indirectas de CO₂ por el transporte de residuos a largas distancias sin eficiencia energética, y emisiones puntuales de N₂O producto de la quema informal. El CH₄ es el gas predominante en este subsector, con un potencial de calentamiento 28 veces mayor al CO₂ (IPCC, 2023). </w:t>
      </w:r>
    </w:p>
    <w:p w14:paraId="63C08129" w14:textId="2AB3F8E5" w:rsidR="00CB48E0" w:rsidRDefault="00194402" w:rsidP="007C6C7E">
      <w:pPr>
        <w:rPr>
          <w:lang w:eastAsia="es-BO"/>
        </w:rPr>
      </w:pPr>
      <w:r w:rsidRPr="00194402">
        <w:rPr>
          <w:lang w:eastAsia="es-BO"/>
        </w:rPr>
        <w:t>Estas emisiones se pueden reducir significativamente mediante prácticas como compostaje, reciclaje, co-procesamiento, c</w:t>
      </w:r>
      <w:r>
        <w:rPr>
          <w:lang w:eastAsia="es-BO"/>
        </w:rPr>
        <w:t>ierre</w:t>
      </w:r>
      <w:r w:rsidRPr="00194402">
        <w:rPr>
          <w:lang w:eastAsia="es-BO"/>
        </w:rPr>
        <w:t xml:space="preserve"> de botaderos y la captura de biogás en rellenos sanitarios.</w:t>
      </w:r>
    </w:p>
    <w:p w14:paraId="55602848" w14:textId="353CC639" w:rsidR="00194402" w:rsidRPr="00194402" w:rsidRDefault="00194402" w:rsidP="00194402">
      <w:pPr>
        <w:pStyle w:val="Prrafodelista"/>
        <w:numPr>
          <w:ilvl w:val="1"/>
          <w:numId w:val="7"/>
        </w:numPr>
        <w:rPr>
          <w:b/>
          <w:bCs/>
          <w:lang w:eastAsia="es-BO"/>
        </w:rPr>
      </w:pPr>
      <w:r w:rsidRPr="00194402">
        <w:rPr>
          <w:b/>
          <w:bCs/>
          <w:lang w:eastAsia="es-BO"/>
        </w:rPr>
        <w:t>Principales vulnerabilidades climáticas del subsector</w:t>
      </w:r>
    </w:p>
    <w:p w14:paraId="72B19F1F" w14:textId="77777777" w:rsidR="00194402" w:rsidRDefault="00194402" w:rsidP="00194402">
      <w:r>
        <w:t xml:space="preserve">El subsector residuos enfrenta vulnerabilidades significativas frente al cambio climático, tanto por su dependencia de infraestructura física expuesta como por la fragilidad operativa de los sistemas municipales. Entre las amenazas más relevantes se encuentran: </w:t>
      </w:r>
    </w:p>
    <w:p w14:paraId="1C9CBD7D" w14:textId="77777777" w:rsidR="00194402" w:rsidRDefault="00194402" w:rsidP="00194402">
      <w:pPr>
        <w:pStyle w:val="Prrafodelista"/>
        <w:numPr>
          <w:ilvl w:val="0"/>
          <w:numId w:val="20"/>
        </w:numPr>
      </w:pPr>
      <w:r>
        <w:rPr>
          <w:rStyle w:val="Textoennegrita"/>
        </w:rPr>
        <w:t>I</w:t>
      </w:r>
      <w:r>
        <w:rPr>
          <w:rStyle w:val="Textoennegrita"/>
        </w:rPr>
        <w:t>nundaciones intensas</w:t>
      </w:r>
      <w:r>
        <w:t xml:space="preserve"> que generan desbordes de lixiviados, deslizamientos y colapsos en botaderos y rellenos mal diseñados</w:t>
      </w:r>
      <w:r>
        <w:t>.</w:t>
      </w:r>
    </w:p>
    <w:p w14:paraId="62089D59" w14:textId="77777777" w:rsidR="00194402" w:rsidRDefault="00194402" w:rsidP="00194402">
      <w:pPr>
        <w:pStyle w:val="Prrafodelista"/>
        <w:numPr>
          <w:ilvl w:val="0"/>
          <w:numId w:val="20"/>
        </w:numPr>
      </w:pPr>
      <w:r>
        <w:rPr>
          <w:rStyle w:val="Textoennegrita"/>
        </w:rPr>
        <w:t>S</w:t>
      </w:r>
      <w:r>
        <w:rPr>
          <w:rStyle w:val="Textoennegrita"/>
        </w:rPr>
        <w:t>equías prolongadas</w:t>
      </w:r>
      <w:r>
        <w:t xml:space="preserve"> que afectan procesos de compostaje y revegetación post-cierre</w:t>
      </w:r>
      <w:r>
        <w:t>.</w:t>
      </w:r>
    </w:p>
    <w:p w14:paraId="546FC752" w14:textId="77777777" w:rsidR="00194402" w:rsidRDefault="00194402" w:rsidP="00194402">
      <w:pPr>
        <w:pStyle w:val="Prrafodelista"/>
        <w:numPr>
          <w:ilvl w:val="0"/>
          <w:numId w:val="20"/>
        </w:numPr>
      </w:pPr>
      <w:r>
        <w:rPr>
          <w:rStyle w:val="Textoennegrita"/>
        </w:rPr>
        <w:t>O</w:t>
      </w:r>
      <w:r>
        <w:rPr>
          <w:rStyle w:val="Textoennegrita"/>
        </w:rPr>
        <w:t>las de calor</w:t>
      </w:r>
      <w:r>
        <w:t xml:space="preserve"> que incrementan el riesgo de incendios en sitios de disposición</w:t>
      </w:r>
      <w:r>
        <w:t>.</w:t>
      </w:r>
    </w:p>
    <w:p w14:paraId="246F303F" w14:textId="786370F3" w:rsidR="00194402" w:rsidRDefault="00194402" w:rsidP="00194402">
      <w:pPr>
        <w:pStyle w:val="Prrafodelista"/>
        <w:numPr>
          <w:ilvl w:val="0"/>
          <w:numId w:val="20"/>
        </w:numPr>
      </w:pPr>
      <w:r>
        <w:rPr>
          <w:rStyle w:val="Textoennegrita"/>
        </w:rPr>
        <w:t>V</w:t>
      </w:r>
      <w:r>
        <w:rPr>
          <w:rStyle w:val="Textoennegrita"/>
        </w:rPr>
        <w:t>ariabilidad climática extrema</w:t>
      </w:r>
      <w:r>
        <w:t xml:space="preserve"> que interrumpe la recolección y transporte de residuos, especialmente en zonas rurales de difícil acceso </w:t>
      </w:r>
    </w:p>
    <w:p w14:paraId="06297D23" w14:textId="46A742C0" w:rsidR="00194402" w:rsidRDefault="00194402" w:rsidP="00194402">
      <w:pPr>
        <w:jc w:val="left"/>
      </w:pPr>
      <w:r>
        <w:t>Fuente;</w:t>
      </w:r>
      <w:r>
        <w:t>(MMAyA, 2025b).</w:t>
      </w:r>
    </w:p>
    <w:p w14:paraId="778D4AFA" w14:textId="2BAF7BB4" w:rsidR="00194402" w:rsidRPr="00F6693D" w:rsidRDefault="00194402" w:rsidP="00194402">
      <w:r>
        <w:t xml:space="preserve">Estos impactos no solo deterioran la infraestructura existente, sino que aumentan los riesgos sanitarios, ambientales y sociales en poblaciones vulnerables. Además, afectan la </w:t>
      </w:r>
      <w:r>
        <w:lastRenderedPageBreak/>
        <w:t>continuidad del servicio, generan pérdidas económicas y dificultan la implementación de medidas de mitigación. La adaptación del sector requiere integrar criterios de resiliencia climática en el diseño de infraestructura, planificación territorial, gobernanza municipal y protocolos operativos, con especial énfasis en municipios con alto nivel de exposición climática, pobreza y debilidad institucional.</w:t>
      </w:r>
    </w:p>
    <w:p w14:paraId="6B27F3B5" w14:textId="4F851F1B" w:rsidR="0025616F" w:rsidRPr="00F6693D" w:rsidRDefault="00166888" w:rsidP="00771C01">
      <w:pPr>
        <w:pStyle w:val="Ttulo1"/>
        <w:numPr>
          <w:ilvl w:val="0"/>
          <w:numId w:val="7"/>
        </w:numPr>
        <w:rPr>
          <w:rFonts w:eastAsia="Times New Roman"/>
          <w:lang w:eastAsia="es-BO"/>
        </w:rPr>
      </w:pPr>
      <w:r w:rsidRPr="00F6693D">
        <w:rPr>
          <w:rFonts w:eastAsia="Times New Roman"/>
          <w:lang w:eastAsia="es-BO"/>
        </w:rPr>
        <w:t>META GLOBA DEL SUBSECTOR</w:t>
      </w:r>
    </w:p>
    <w:p w14:paraId="406440EA" w14:textId="3915F305" w:rsidR="0025616F" w:rsidRDefault="006118DA" w:rsidP="00FE03EE">
      <w:r w:rsidRPr="006118DA">
        <w:t xml:space="preserve">Hasta el año 2035, el subsector residuos... habrá contribuido significativamente a la mitigación del cambio climático mediante el cierre progresivo de botaderos, la valorización sostenible de residuos, la implementación de infraestructura con enfoque climático y la captura y aprovechamiento energético del biogás con una reducción acumulada estimada de al menos </w:t>
      </w:r>
      <w:r w:rsidRPr="006118DA">
        <w:rPr>
          <w:highlight w:val="yellow"/>
        </w:rPr>
        <w:t>470 Gg CO₂e</w:t>
      </w:r>
      <w:r w:rsidRPr="006118DA">
        <w:t>.</w:t>
      </w:r>
    </w:p>
    <w:p w14:paraId="03C08E73" w14:textId="443496F5" w:rsidR="006118DA" w:rsidRDefault="006118DA" w:rsidP="00FE03EE">
      <w:r>
        <w:t xml:space="preserve">La Meta se </w:t>
      </w:r>
      <w:r>
        <w:t xml:space="preserve">alinea perfectamente con las </w:t>
      </w:r>
      <w:r>
        <w:t>siguientes submétases</w:t>
      </w:r>
    </w:p>
    <w:tbl>
      <w:tblPr>
        <w:tblStyle w:val="Tablaconcuadrcula"/>
        <w:tblW w:w="0" w:type="auto"/>
        <w:tblLook w:val="04A0" w:firstRow="1" w:lastRow="0" w:firstColumn="1" w:lastColumn="0" w:noHBand="0" w:noVBand="1"/>
      </w:tblPr>
      <w:tblGrid>
        <w:gridCol w:w="2213"/>
        <w:gridCol w:w="1323"/>
        <w:gridCol w:w="4958"/>
      </w:tblGrid>
      <w:tr w:rsidR="006118DA" w:rsidRPr="006118DA" w14:paraId="4C72EB3F" w14:textId="77777777" w:rsidTr="006118DA">
        <w:tc>
          <w:tcPr>
            <w:tcW w:w="0" w:type="auto"/>
            <w:hideMark/>
          </w:tcPr>
          <w:p w14:paraId="0389EB65" w14:textId="7CC4DA07" w:rsidR="006118DA" w:rsidRPr="006118DA" w:rsidRDefault="006118DA" w:rsidP="006118DA">
            <w:pPr>
              <w:spacing w:before="0" w:after="0"/>
              <w:jc w:val="center"/>
              <w:rPr>
                <w:rFonts w:eastAsia="Times New Roman" w:cs="Times New Roman"/>
                <w:b/>
                <w:bCs/>
                <w:szCs w:val="24"/>
                <w:lang w:eastAsia="es-BO"/>
              </w:rPr>
            </w:pPr>
            <w:r w:rsidRPr="006118DA">
              <w:rPr>
                <w:rFonts w:eastAsia="Times New Roman" w:cs="Times New Roman"/>
                <w:b/>
                <w:bCs/>
                <w:szCs w:val="24"/>
                <w:lang w:eastAsia="es-BO"/>
              </w:rPr>
              <w:t>Submetas</w:t>
            </w:r>
            <w:r w:rsidRPr="006118DA">
              <w:rPr>
                <w:rFonts w:eastAsia="Times New Roman" w:cs="Times New Roman"/>
                <w:b/>
                <w:bCs/>
                <w:szCs w:val="24"/>
                <w:lang w:eastAsia="es-BO"/>
              </w:rPr>
              <w:t xml:space="preserve"> propuesta</w:t>
            </w:r>
          </w:p>
        </w:tc>
        <w:tc>
          <w:tcPr>
            <w:tcW w:w="0" w:type="auto"/>
            <w:hideMark/>
          </w:tcPr>
          <w:p w14:paraId="5D18402E" w14:textId="77777777" w:rsidR="006118DA" w:rsidRPr="006118DA" w:rsidRDefault="006118DA" w:rsidP="006118DA">
            <w:pPr>
              <w:spacing w:before="0" w:after="0"/>
              <w:jc w:val="center"/>
              <w:rPr>
                <w:rFonts w:eastAsia="Times New Roman" w:cs="Times New Roman"/>
                <w:b/>
                <w:bCs/>
                <w:szCs w:val="24"/>
                <w:lang w:eastAsia="es-BO"/>
              </w:rPr>
            </w:pPr>
            <w:r w:rsidRPr="006118DA">
              <w:rPr>
                <w:rFonts w:eastAsia="Times New Roman" w:cs="Times New Roman"/>
                <w:b/>
                <w:bCs/>
                <w:szCs w:val="24"/>
                <w:lang w:eastAsia="es-BO"/>
              </w:rPr>
              <w:t>Tipo</w:t>
            </w:r>
          </w:p>
        </w:tc>
        <w:tc>
          <w:tcPr>
            <w:tcW w:w="0" w:type="auto"/>
            <w:hideMark/>
          </w:tcPr>
          <w:p w14:paraId="219AD891" w14:textId="77777777" w:rsidR="006118DA" w:rsidRPr="006118DA" w:rsidRDefault="006118DA" w:rsidP="006118DA">
            <w:pPr>
              <w:spacing w:before="0" w:after="0"/>
              <w:jc w:val="center"/>
              <w:rPr>
                <w:rFonts w:eastAsia="Times New Roman" w:cs="Times New Roman"/>
                <w:b/>
                <w:bCs/>
                <w:szCs w:val="24"/>
                <w:lang w:eastAsia="es-BO"/>
              </w:rPr>
            </w:pPr>
            <w:r w:rsidRPr="006118DA">
              <w:rPr>
                <w:rFonts w:eastAsia="Times New Roman" w:cs="Times New Roman"/>
                <w:b/>
                <w:bCs/>
                <w:szCs w:val="24"/>
                <w:lang w:eastAsia="es-BO"/>
              </w:rPr>
              <w:t>Observación técnica</w:t>
            </w:r>
          </w:p>
        </w:tc>
      </w:tr>
      <w:tr w:rsidR="006118DA" w:rsidRPr="006118DA" w14:paraId="03B4BA97" w14:textId="77777777" w:rsidTr="006118DA">
        <w:tc>
          <w:tcPr>
            <w:tcW w:w="0" w:type="auto"/>
            <w:hideMark/>
          </w:tcPr>
          <w:p w14:paraId="6FB7AF0B"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1. Valorización de residuos</w:t>
            </w:r>
          </w:p>
        </w:tc>
        <w:tc>
          <w:tcPr>
            <w:tcW w:w="0" w:type="auto"/>
            <w:hideMark/>
          </w:tcPr>
          <w:p w14:paraId="74C32D0F"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Mitigación</w:t>
            </w:r>
          </w:p>
        </w:tc>
        <w:tc>
          <w:tcPr>
            <w:tcW w:w="0" w:type="auto"/>
            <w:hideMark/>
          </w:tcPr>
          <w:p w14:paraId="07D7FA94"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Vinculada al aumento de reciclaje, compostaje, co-procesamiento y reducción de residuos dispuestos.</w:t>
            </w:r>
          </w:p>
        </w:tc>
      </w:tr>
      <w:tr w:rsidR="006118DA" w:rsidRPr="006118DA" w14:paraId="48910A4F" w14:textId="77777777" w:rsidTr="006118DA">
        <w:tc>
          <w:tcPr>
            <w:tcW w:w="0" w:type="auto"/>
            <w:hideMark/>
          </w:tcPr>
          <w:p w14:paraId="4766D685"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2. Disposición final segura</w:t>
            </w:r>
          </w:p>
        </w:tc>
        <w:tc>
          <w:tcPr>
            <w:tcW w:w="0" w:type="auto"/>
            <w:hideMark/>
          </w:tcPr>
          <w:p w14:paraId="4F4097D7"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Mitigación</w:t>
            </w:r>
          </w:p>
        </w:tc>
        <w:tc>
          <w:tcPr>
            <w:tcW w:w="0" w:type="auto"/>
            <w:hideMark/>
          </w:tcPr>
          <w:p w14:paraId="3B4B087A"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Directamente relacionada al cierre de botaderos y mejora de rellenos con biogás.</w:t>
            </w:r>
          </w:p>
        </w:tc>
      </w:tr>
      <w:tr w:rsidR="006118DA" w:rsidRPr="006118DA" w14:paraId="5F0968AA" w14:textId="77777777" w:rsidTr="006118DA">
        <w:tc>
          <w:tcPr>
            <w:tcW w:w="0" w:type="auto"/>
            <w:hideMark/>
          </w:tcPr>
          <w:p w14:paraId="7F45584E"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3. Inclusión de grupos vulnerables</w:t>
            </w:r>
          </w:p>
        </w:tc>
        <w:tc>
          <w:tcPr>
            <w:tcW w:w="0" w:type="auto"/>
            <w:hideMark/>
          </w:tcPr>
          <w:p w14:paraId="22599FD9"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Adaptación</w:t>
            </w:r>
          </w:p>
        </w:tc>
        <w:tc>
          <w:tcPr>
            <w:tcW w:w="0" w:type="auto"/>
            <w:hideMark/>
          </w:tcPr>
          <w:p w14:paraId="78B8A7C7" w14:textId="77777777" w:rsidR="006118DA" w:rsidRPr="006118DA" w:rsidRDefault="006118DA" w:rsidP="006118DA">
            <w:pPr>
              <w:spacing w:before="0" w:after="0"/>
              <w:jc w:val="left"/>
              <w:rPr>
                <w:rFonts w:eastAsia="Times New Roman" w:cs="Times New Roman"/>
                <w:szCs w:val="24"/>
                <w:lang w:eastAsia="es-BO"/>
              </w:rPr>
            </w:pPr>
            <w:r w:rsidRPr="006118DA">
              <w:rPr>
                <w:rFonts w:eastAsia="Times New Roman" w:cs="Times New Roman"/>
                <w:szCs w:val="24"/>
                <w:lang w:eastAsia="es-BO"/>
              </w:rPr>
              <w:t>Alineada con la dimensión social de la transición justa y con los impactos diferenciales del cambio climático.</w:t>
            </w:r>
          </w:p>
        </w:tc>
      </w:tr>
    </w:tbl>
    <w:p w14:paraId="5EFD08F5" w14:textId="77777777" w:rsidR="00FD2059" w:rsidRDefault="00FD2059" w:rsidP="006118DA">
      <w:bookmarkStart w:id="2" w:name="_Toc203484724"/>
      <w:r w:rsidRPr="00FD2059">
        <w:t xml:space="preserve">La presente planificación </w:t>
      </w:r>
      <w:r>
        <w:t xml:space="preserve">se prevé que sea </w:t>
      </w:r>
      <w:r>
        <w:t xml:space="preserve">forma escalonada en tres posibles fases </w:t>
      </w:r>
      <w:r w:rsidRPr="00FD2059">
        <w:t xml:space="preserve">y estará sujeta (condicionada) a la gestión, consecución y aprobación efectiva de fuentes de financiamiento provenientes de: </w:t>
      </w:r>
    </w:p>
    <w:p w14:paraId="3077A697" w14:textId="77777777" w:rsidR="00FD2059" w:rsidRDefault="00FD2059" w:rsidP="00FD2059">
      <w:pPr>
        <w:pStyle w:val="Prrafodelista"/>
        <w:numPr>
          <w:ilvl w:val="0"/>
          <w:numId w:val="22"/>
        </w:numPr>
      </w:pPr>
      <w:r>
        <w:t>R</w:t>
      </w:r>
      <w:r w:rsidRPr="00FD2059">
        <w:t>ecursos del Estado en sus distintos niveles de gobierno</w:t>
      </w:r>
      <w:r>
        <w:t>.</w:t>
      </w:r>
    </w:p>
    <w:p w14:paraId="1D3C9765" w14:textId="77777777" w:rsidR="00FD2059" w:rsidRDefault="00FD2059" w:rsidP="00FD2059">
      <w:pPr>
        <w:pStyle w:val="Prrafodelista"/>
        <w:numPr>
          <w:ilvl w:val="0"/>
          <w:numId w:val="22"/>
        </w:numPr>
      </w:pPr>
      <w:r>
        <w:t>C</w:t>
      </w:r>
      <w:r w:rsidRPr="00FD2059">
        <w:t>ooperación internacional bilateral, multilateral y de banca/de organismos de desarrollo</w:t>
      </w:r>
      <w:r>
        <w:t>.</w:t>
      </w:r>
    </w:p>
    <w:p w14:paraId="7263123C" w14:textId="4C70C4D9" w:rsidR="00FD2059" w:rsidRDefault="00FD2059" w:rsidP="00FD2059">
      <w:pPr>
        <w:pStyle w:val="Prrafodelista"/>
        <w:numPr>
          <w:ilvl w:val="0"/>
          <w:numId w:val="22"/>
        </w:numPr>
      </w:pPr>
      <w:r>
        <w:t>F</w:t>
      </w:r>
      <w:r w:rsidRPr="00FD2059">
        <w:t>ondos, mecanismos e instrumentos vinculados al cambio climático</w:t>
      </w:r>
      <w:r>
        <w:t>.</w:t>
      </w:r>
    </w:p>
    <w:p w14:paraId="121386BA" w14:textId="7E7E35BB" w:rsidR="00FD2059" w:rsidRDefault="00FD2059" w:rsidP="006118DA">
      <w:r w:rsidRPr="00FD2059">
        <w:t>En tal sentido, los montos de inversión, el cronograma de ejecución, el alcance territorial y las metas físicas aquí señaladas podrán ser ajustados en función de la disponibilidad real y la oportunidad de los recursos gestionados, así como de eventuales requisitos técnicos, ambientales o regulatorios establecidos por las entidades financiadoras.</w:t>
      </w:r>
    </w:p>
    <w:p w14:paraId="168F3C20" w14:textId="04FFED4D" w:rsidR="00FD2059" w:rsidRDefault="00FD2059" w:rsidP="006118DA">
      <w:r w:rsidRPr="00FD2059">
        <w:t xml:space="preserve">Las submétases se proponen implementar de forma escalonada </w:t>
      </w:r>
      <w:r>
        <w:t>de la siguiente forma</w:t>
      </w:r>
      <w:r w:rsidRPr="00FD2059">
        <w:t>.</w:t>
      </w:r>
    </w:p>
    <w:p w14:paraId="0B7050B8" w14:textId="115584D7" w:rsidR="006118DA" w:rsidRDefault="006118DA" w:rsidP="00AF6FE6">
      <w:pPr>
        <w:pStyle w:val="Prrafodelista"/>
        <w:numPr>
          <w:ilvl w:val="0"/>
          <w:numId w:val="21"/>
        </w:numPr>
      </w:pPr>
      <w:r w:rsidRPr="00AF6FE6">
        <w:rPr>
          <w:b/>
          <w:bCs/>
        </w:rPr>
        <w:t>Fase 1 – 2025:</w:t>
      </w:r>
      <w:r>
        <w:t xml:space="preserve"> incluye la </w:t>
      </w:r>
      <w:r w:rsidR="001D29EC">
        <w:t xml:space="preserve">planificación </w:t>
      </w:r>
      <w:r>
        <w:t>de los programas</w:t>
      </w:r>
      <w:r w:rsidR="00F70FE4">
        <w:t>;</w:t>
      </w:r>
      <w:r>
        <w:t xml:space="preserve"> PSLT</w:t>
      </w:r>
      <w:r>
        <w:t>,</w:t>
      </w:r>
      <w:r>
        <w:t xml:space="preserve"> PGIR BO-L1073,</w:t>
      </w:r>
      <w:r w:rsidRPr="006118DA">
        <w:t xml:space="preserve"> </w:t>
      </w:r>
      <w:r>
        <w:t>P</w:t>
      </w:r>
      <w:r w:rsidRPr="006118DA">
        <w:t>rograma contravalor japón</w:t>
      </w:r>
      <w:r>
        <w:t xml:space="preserve">, FAMSI, ONU </w:t>
      </w:r>
      <w:r w:rsidR="00AF6FE6">
        <w:t>Hábitat, con</w:t>
      </w:r>
      <w:r>
        <w:t xml:space="preserve"> una inversión conjunta de más de Bs 1</w:t>
      </w:r>
      <w:r>
        <w:t>82</w:t>
      </w:r>
      <w:r>
        <w:t xml:space="preserve"> millones, impulsando la valorización de </w:t>
      </w:r>
      <w:r w:rsidRPr="006118DA">
        <w:t>36.058,06</w:t>
      </w:r>
      <w:r>
        <w:t xml:space="preserve"> </w:t>
      </w:r>
      <w:r>
        <w:t>toneladas/año</w:t>
      </w:r>
      <w:r w:rsidR="00AF6FE6">
        <w:t xml:space="preserve"> de residuos orgánicos, </w:t>
      </w:r>
      <w:r w:rsidR="00AF6FE6" w:rsidRPr="00AF6FE6">
        <w:t>17.762,85</w:t>
      </w:r>
      <w:r w:rsidR="00AF6FE6">
        <w:t xml:space="preserve"> </w:t>
      </w:r>
      <w:r w:rsidR="00AF6FE6">
        <w:t>toneladas/año</w:t>
      </w:r>
      <w:r w:rsidR="00AF6FE6">
        <w:t xml:space="preserve"> de residuos reciclables</w:t>
      </w:r>
      <w:r>
        <w:t xml:space="preserve"> y la disposición final </w:t>
      </w:r>
      <w:r w:rsidR="00AF6FE6">
        <w:t xml:space="preserve">adecuada </w:t>
      </w:r>
      <w:r>
        <w:t xml:space="preserve">de más de </w:t>
      </w:r>
      <w:r w:rsidR="00AF6FE6" w:rsidRPr="00AF6FE6">
        <w:t>278.595,90</w:t>
      </w:r>
      <w:r w:rsidR="00AF6FE6" w:rsidRPr="00AF6FE6">
        <w:t xml:space="preserve"> </w:t>
      </w:r>
      <w:r>
        <w:t>toneladas/año.</w:t>
      </w:r>
    </w:p>
    <w:p w14:paraId="18D5E01C" w14:textId="77777777" w:rsidR="001D29EC" w:rsidRDefault="001D29EC" w:rsidP="001D29EC">
      <w:pPr>
        <w:pStyle w:val="Prrafodelista"/>
      </w:pPr>
    </w:p>
    <w:p w14:paraId="2DA0D11D" w14:textId="600347E5" w:rsidR="00F70FE4" w:rsidRDefault="006118DA" w:rsidP="006118DA">
      <w:pPr>
        <w:pStyle w:val="Prrafodelista"/>
        <w:numPr>
          <w:ilvl w:val="0"/>
          <w:numId w:val="21"/>
        </w:numPr>
      </w:pPr>
      <w:r w:rsidRPr="00AF6FE6">
        <w:rPr>
          <w:b/>
          <w:bCs/>
        </w:rPr>
        <w:t>Fase 2 – 2030:</w:t>
      </w:r>
      <w:r>
        <w:t xml:space="preserve"> incluye </w:t>
      </w:r>
      <w:r w:rsidR="001D29EC">
        <w:t xml:space="preserve">la planificación de </w:t>
      </w:r>
      <w:r>
        <w:t>los programas</w:t>
      </w:r>
      <w:r w:rsidR="00F70FE4">
        <w:t>;</w:t>
      </w:r>
      <w:r>
        <w:t xml:space="preserve"> GIR-OR y HEL-ITA, </w:t>
      </w:r>
      <w:r w:rsidR="00AF6FE6">
        <w:t xml:space="preserve">con una inversión conjunta de más de Bs </w:t>
      </w:r>
      <w:r w:rsidR="00AF6FE6">
        <w:t>65</w:t>
      </w:r>
      <w:r w:rsidR="00AF6FE6">
        <w:t xml:space="preserve"> millones, impulsando la valorización </w:t>
      </w:r>
      <w:r w:rsidR="00AF6FE6">
        <w:lastRenderedPageBreak/>
        <w:t xml:space="preserve">de </w:t>
      </w:r>
      <w:r w:rsidR="00AF6FE6" w:rsidRPr="00AF6FE6">
        <w:t>9.044,03</w:t>
      </w:r>
      <w:r w:rsidR="00AF6FE6">
        <w:t xml:space="preserve"> </w:t>
      </w:r>
      <w:r w:rsidR="00AF6FE6">
        <w:t xml:space="preserve">toneladas/año de residuos orgánicos, </w:t>
      </w:r>
      <w:r w:rsidR="00AF6FE6" w:rsidRPr="00AF6FE6">
        <w:t>6.632,29</w:t>
      </w:r>
      <w:r w:rsidR="00AF6FE6">
        <w:t xml:space="preserve"> </w:t>
      </w:r>
      <w:r w:rsidR="00AF6FE6">
        <w:t xml:space="preserve">toneladas/año de residuos reciclables y la disposición final adecuada de más de </w:t>
      </w:r>
      <w:r w:rsidR="00AF6FE6" w:rsidRPr="00AF6FE6">
        <w:t>34.568,30</w:t>
      </w:r>
      <w:r w:rsidR="00AF6FE6">
        <w:t xml:space="preserve"> </w:t>
      </w:r>
      <w:r w:rsidR="00AF6FE6">
        <w:t>toneladas/año.</w:t>
      </w:r>
    </w:p>
    <w:p w14:paraId="43EC32EE" w14:textId="77777777" w:rsidR="001D29EC" w:rsidRDefault="001D29EC" w:rsidP="001D29EC">
      <w:pPr>
        <w:pStyle w:val="Prrafodelista"/>
      </w:pPr>
    </w:p>
    <w:p w14:paraId="4BF3A180" w14:textId="37D5E955" w:rsidR="001D29EC" w:rsidRDefault="006118DA" w:rsidP="001D29EC">
      <w:pPr>
        <w:pStyle w:val="Prrafodelista"/>
        <w:numPr>
          <w:ilvl w:val="0"/>
          <w:numId w:val="21"/>
        </w:numPr>
      </w:pPr>
      <w:r w:rsidRPr="00F70FE4">
        <w:rPr>
          <w:b/>
          <w:bCs/>
        </w:rPr>
        <w:t>Fase 3 – 2035:</w:t>
      </w:r>
      <w:r>
        <w:t xml:space="preserve"> </w:t>
      </w:r>
      <w:r w:rsidR="001D29EC">
        <w:t>incluye la planificación de los programas</w:t>
      </w:r>
      <w:r w:rsidR="00F70FE4">
        <w:t xml:space="preserve">; </w:t>
      </w:r>
      <w:r w:rsidR="00F70FE4" w:rsidRPr="00F70FE4">
        <w:t>PGIR (&gt; 100,000 hab)</w:t>
      </w:r>
      <w:r w:rsidR="00F70FE4">
        <w:t xml:space="preserve">, </w:t>
      </w:r>
      <w:r w:rsidR="00F70FE4" w:rsidRPr="00F70FE4">
        <w:t>PGIR (15,000≤ a ≤100,000)</w:t>
      </w:r>
      <w:r w:rsidR="00F70FE4">
        <w:t xml:space="preserve">, </w:t>
      </w:r>
      <w:r w:rsidR="00F70FE4" w:rsidRPr="00F70FE4">
        <w:t>PGIR (&lt; 15.000 hab.)</w:t>
      </w:r>
      <w:r w:rsidR="00F70FE4">
        <w:t xml:space="preserve">, </w:t>
      </w:r>
      <w:r w:rsidR="0010778D" w:rsidRPr="0010778D">
        <w:t>PGIR - CCET</w:t>
      </w:r>
      <w:r w:rsidR="00F70FE4">
        <w:t xml:space="preserve">, </w:t>
      </w:r>
      <w:r w:rsidR="0010778D" w:rsidRPr="0010778D">
        <w:t>PGIR RMEC</w:t>
      </w:r>
      <w:r w:rsidR="001D29EC">
        <w:t xml:space="preserve"> y </w:t>
      </w:r>
      <w:r w:rsidR="001D29EC" w:rsidRPr="001D29EC">
        <w:t xml:space="preserve">PGIR </w:t>
      </w:r>
      <w:r w:rsidR="001D29EC">
        <w:t>–</w:t>
      </w:r>
      <w:r w:rsidR="001D29EC" w:rsidRPr="001D29EC">
        <w:t xml:space="preserve"> ACB</w:t>
      </w:r>
      <w:r w:rsidR="001D29EC">
        <w:t xml:space="preserve">, con una inversión </w:t>
      </w:r>
      <w:r w:rsidR="001D29EC">
        <w:t xml:space="preserve">conjunta de más de Bs </w:t>
      </w:r>
      <w:r w:rsidR="001D29EC">
        <w:t>3,082</w:t>
      </w:r>
      <w:r w:rsidR="001D29EC">
        <w:t xml:space="preserve"> millones</w:t>
      </w:r>
      <w:r w:rsidR="001D29EC" w:rsidRPr="001D29EC">
        <w:t xml:space="preserve"> </w:t>
      </w:r>
      <w:r w:rsidR="001D29EC">
        <w:t xml:space="preserve">impulsando la valorización de </w:t>
      </w:r>
      <w:r w:rsidR="001D29EC" w:rsidRPr="001D29EC">
        <w:t>470.757,91</w:t>
      </w:r>
      <w:r w:rsidR="001D29EC">
        <w:t xml:space="preserve"> </w:t>
      </w:r>
      <w:r w:rsidR="001D29EC">
        <w:t xml:space="preserve">toneladas/año de residuos orgánicos, </w:t>
      </w:r>
      <w:r w:rsidR="001D29EC" w:rsidRPr="001D29EC">
        <w:t>448.117,30</w:t>
      </w:r>
      <w:r w:rsidR="001D29EC">
        <w:t xml:space="preserve"> </w:t>
      </w:r>
      <w:r w:rsidR="001D29EC">
        <w:t xml:space="preserve">toneladas/año de residuos reciclables y la disposición final adecuada de más de </w:t>
      </w:r>
      <w:r w:rsidR="001D29EC" w:rsidRPr="001D29EC">
        <w:t>1.696.446,51</w:t>
      </w:r>
      <w:r w:rsidR="001D29EC">
        <w:t xml:space="preserve"> </w:t>
      </w:r>
      <w:r w:rsidR="001D29EC">
        <w:t>toneladas/año.</w:t>
      </w:r>
    </w:p>
    <w:p w14:paraId="14E2ACB8" w14:textId="5C878018" w:rsidR="00F70FE4" w:rsidRDefault="00F70FE4" w:rsidP="001D29EC">
      <w:pPr>
        <w:pStyle w:val="Prrafodelista"/>
      </w:pPr>
    </w:p>
    <w:p w14:paraId="611B1E68" w14:textId="6A72FF15" w:rsidR="002435E1" w:rsidRPr="00F6693D" w:rsidRDefault="00A408F3" w:rsidP="00771C01">
      <w:pPr>
        <w:pStyle w:val="Ttulo3"/>
        <w:numPr>
          <w:ilvl w:val="1"/>
          <w:numId w:val="7"/>
        </w:numPr>
      </w:pPr>
      <w:r w:rsidRPr="00F6693D">
        <w:t xml:space="preserve"> </w:t>
      </w:r>
      <w:r w:rsidRPr="00F6693D">
        <w:tab/>
      </w:r>
      <w:bookmarkEnd w:id="2"/>
      <w:r w:rsidR="006118DA" w:rsidRPr="006118DA">
        <w:t>Meta 1 – Valorización de residuos sólidos (Mitigación)</w:t>
      </w:r>
    </w:p>
    <w:p w14:paraId="4E8D982E" w14:textId="57E78A33" w:rsidR="002435E1" w:rsidRPr="00F6693D" w:rsidRDefault="00FD2059" w:rsidP="002435E1">
      <w:r w:rsidRPr="00FD2059">
        <w:t xml:space="preserve">Hasta 2035, se incrementará progresivamente la valorización de residuos sólidos municipales en Bolivia, alcanzando al menos el </w:t>
      </w:r>
      <w:r w:rsidRPr="00FD2059">
        <w:rPr>
          <w:highlight w:val="yellow"/>
        </w:rPr>
        <w:t>25 %</w:t>
      </w:r>
      <w:r w:rsidRPr="00FD2059">
        <w:t xml:space="preserve"> del total generado, mediante el escalamiento de estrategias de reciclaje inclusivo, compostaje, co-procesamiento y aprovechamiento energético.</w:t>
      </w:r>
    </w:p>
    <w:p w14:paraId="1992EDCD" w14:textId="730D753C" w:rsidR="003B2FE1" w:rsidRPr="00F6693D" w:rsidRDefault="00BA01D4" w:rsidP="00771C01">
      <w:pPr>
        <w:pStyle w:val="Prrafodelista"/>
        <w:numPr>
          <w:ilvl w:val="2"/>
          <w:numId w:val="7"/>
        </w:numPr>
      </w:pPr>
      <w:r w:rsidRPr="00F6693D">
        <w:rPr>
          <w:b/>
        </w:rPr>
        <w:t>Descripción:</w:t>
      </w:r>
      <w:r w:rsidRPr="00F6693D">
        <w:t xml:space="preserve"> </w:t>
      </w:r>
    </w:p>
    <w:p w14:paraId="47E61D4E" w14:textId="22CDFCE4" w:rsidR="002306ED" w:rsidRPr="00F6693D" w:rsidRDefault="00FD2059" w:rsidP="002306ED">
      <w:pPr>
        <w:spacing w:before="100" w:beforeAutospacing="1" w:after="100" w:afterAutospacing="1" w:line="240" w:lineRule="auto"/>
        <w:rPr>
          <w:rFonts w:eastAsia="Times New Roman" w:cs="Times New Roman"/>
          <w:b/>
          <w:bCs/>
          <w:szCs w:val="24"/>
          <w:lang w:eastAsia="es-BO"/>
        </w:rPr>
      </w:pPr>
      <w:r w:rsidRPr="00FD2059">
        <w:t>Esta meta busca transformar estructuralmente el modelo de gestión de residuos en Bolivia, reduciendo la presión sobre botaderos mediante el impulso a sistemas de valorización ambiental y climáticamente eficientes. Las acciones incluyen el fortalecimiento del reciclaje de materiales inorgánicos, con inclusión de recicladores de base; el escalamiento del compostaje a nivel urbano y periurbano; la incorporación del co-procesamiento en hornos cementeros para residuos no reciclables; y el desarrollo de soluciones de aprovechamiento energético para residuos orgánicos y de difícil valorización. Las proyecciones 2024–2035 estiman alcanzar más de 58.000 toneladas/año de valorización orgánica y 48.000 toneladas/año de inorgánica, con una reducción significativa de emisiones por desvío de residuos de disposición final (MMAyA, 2025). La meta se articulará con el régimen REP, programas subnacionales de Basura Cero, GIRS BO-L1073 y planes municipales de GIR.</w:t>
      </w:r>
    </w:p>
    <w:p w14:paraId="4C7EAC54" w14:textId="1F207BFA" w:rsidR="0025616F" w:rsidRDefault="001E09E9" w:rsidP="00771C01">
      <w:pPr>
        <w:pStyle w:val="Prrafodelista"/>
        <w:numPr>
          <w:ilvl w:val="2"/>
          <w:numId w:val="7"/>
        </w:numPr>
        <w:spacing w:before="100" w:beforeAutospacing="1" w:after="100" w:afterAutospacing="1" w:line="240" w:lineRule="auto"/>
        <w:rPr>
          <w:rFonts w:eastAsia="Times New Roman" w:cs="Times New Roman"/>
          <w:b/>
          <w:bCs/>
          <w:szCs w:val="24"/>
          <w:lang w:eastAsia="es-BO"/>
        </w:rPr>
      </w:pPr>
      <w:bookmarkStart w:id="3" w:name="_Hlk204954154"/>
      <w:r w:rsidRPr="001E09E9">
        <w:rPr>
          <w:rFonts w:eastAsia="Times New Roman" w:cs="Times New Roman"/>
          <w:b/>
          <w:bCs/>
          <w:szCs w:val="24"/>
          <w:lang w:eastAsia="es-BO"/>
        </w:rPr>
        <w:t>Detalle del indicador de la meta:</w:t>
      </w:r>
    </w:p>
    <w:tbl>
      <w:tblPr>
        <w:tblStyle w:val="Tablaconcuadrcula"/>
        <w:tblW w:w="8838" w:type="dxa"/>
        <w:tblLook w:val="04A0" w:firstRow="1" w:lastRow="0" w:firstColumn="1" w:lastColumn="0" w:noHBand="0" w:noVBand="1"/>
      </w:tblPr>
      <w:tblGrid>
        <w:gridCol w:w="2185"/>
        <w:gridCol w:w="2897"/>
        <w:gridCol w:w="3756"/>
      </w:tblGrid>
      <w:tr w:rsidR="001E09E9" w:rsidRPr="001E09E9" w14:paraId="399C9410" w14:textId="77777777" w:rsidTr="001E09E9">
        <w:tc>
          <w:tcPr>
            <w:tcW w:w="0" w:type="auto"/>
            <w:hideMark/>
          </w:tcPr>
          <w:p w14:paraId="5BEA25B8" w14:textId="77777777" w:rsidR="001E09E9" w:rsidRPr="001E09E9" w:rsidRDefault="001E09E9" w:rsidP="001E09E9">
            <w:pPr>
              <w:spacing w:before="0" w:after="0"/>
              <w:jc w:val="center"/>
              <w:rPr>
                <w:rFonts w:eastAsia="Times New Roman" w:cs="Times New Roman"/>
                <w:b/>
                <w:bCs/>
                <w:szCs w:val="24"/>
                <w:lang w:eastAsia="es-BO"/>
              </w:rPr>
            </w:pPr>
            <w:r w:rsidRPr="001E09E9">
              <w:rPr>
                <w:rFonts w:eastAsia="Times New Roman" w:cs="Times New Roman"/>
                <w:b/>
                <w:bCs/>
                <w:szCs w:val="24"/>
                <w:lang w:eastAsia="es-BO"/>
              </w:rPr>
              <w:t>Elemento</w:t>
            </w:r>
          </w:p>
        </w:tc>
        <w:tc>
          <w:tcPr>
            <w:tcW w:w="0" w:type="auto"/>
            <w:hideMark/>
          </w:tcPr>
          <w:p w14:paraId="40B5E76C" w14:textId="77777777" w:rsidR="001E09E9" w:rsidRPr="001E09E9" w:rsidRDefault="001E09E9" w:rsidP="001E09E9">
            <w:pPr>
              <w:spacing w:before="0" w:after="0"/>
              <w:jc w:val="center"/>
              <w:rPr>
                <w:rFonts w:eastAsia="Times New Roman" w:cs="Times New Roman"/>
                <w:b/>
                <w:bCs/>
                <w:szCs w:val="24"/>
                <w:lang w:eastAsia="es-BO"/>
              </w:rPr>
            </w:pPr>
            <w:r w:rsidRPr="001E09E9">
              <w:rPr>
                <w:rFonts w:eastAsia="Times New Roman" w:cs="Times New Roman"/>
                <w:b/>
                <w:bCs/>
                <w:szCs w:val="24"/>
                <w:lang w:eastAsia="es-BO"/>
              </w:rPr>
              <w:t>Descripción</w:t>
            </w:r>
          </w:p>
        </w:tc>
        <w:tc>
          <w:tcPr>
            <w:tcW w:w="0" w:type="auto"/>
            <w:hideMark/>
          </w:tcPr>
          <w:p w14:paraId="1D7C0370" w14:textId="77777777" w:rsidR="001E09E9" w:rsidRPr="001E09E9" w:rsidRDefault="001E09E9" w:rsidP="001E09E9">
            <w:pPr>
              <w:spacing w:before="0" w:after="0"/>
              <w:jc w:val="center"/>
              <w:rPr>
                <w:rFonts w:eastAsia="Times New Roman" w:cs="Times New Roman"/>
                <w:b/>
                <w:bCs/>
                <w:szCs w:val="24"/>
                <w:lang w:eastAsia="es-BO"/>
              </w:rPr>
            </w:pPr>
            <w:r w:rsidRPr="001E09E9">
              <w:rPr>
                <w:rFonts w:eastAsia="Times New Roman" w:cs="Times New Roman"/>
                <w:b/>
                <w:bCs/>
                <w:szCs w:val="24"/>
                <w:lang w:eastAsia="es-BO"/>
              </w:rPr>
              <w:t>Fórmula de cálculo utilizada</w:t>
            </w:r>
          </w:p>
        </w:tc>
      </w:tr>
      <w:tr w:rsidR="001E09E9" w:rsidRPr="001E09E9" w14:paraId="6228726A" w14:textId="77777777" w:rsidTr="001E09E9">
        <w:tc>
          <w:tcPr>
            <w:tcW w:w="0" w:type="auto"/>
            <w:hideMark/>
          </w:tcPr>
          <w:p w14:paraId="46E90261"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Indicador principal</w:t>
            </w:r>
          </w:p>
        </w:tc>
        <w:tc>
          <w:tcPr>
            <w:tcW w:w="0" w:type="auto"/>
            <w:hideMark/>
          </w:tcPr>
          <w:p w14:paraId="740D1189"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Porcentaje de valorización de residuos sólidos municipales</w:t>
            </w:r>
          </w:p>
        </w:tc>
        <w:tc>
          <w:tcPr>
            <w:tcW w:w="0" w:type="auto"/>
            <w:hideMark/>
          </w:tcPr>
          <w:p w14:paraId="3466ADDB"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 Valorización = (Residuos valorizados / Residuos generados totales) × 100</w:t>
            </w:r>
          </w:p>
        </w:tc>
      </w:tr>
      <w:tr w:rsidR="001E09E9" w:rsidRPr="001E09E9" w14:paraId="29A3876A" w14:textId="77777777" w:rsidTr="001E09E9">
        <w:tc>
          <w:tcPr>
            <w:tcW w:w="0" w:type="auto"/>
            <w:hideMark/>
          </w:tcPr>
          <w:p w14:paraId="44BA2DC4"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Unidad de medida</w:t>
            </w:r>
          </w:p>
        </w:tc>
        <w:tc>
          <w:tcPr>
            <w:tcW w:w="0" w:type="auto"/>
            <w:hideMark/>
          </w:tcPr>
          <w:p w14:paraId="357A8934"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Porcentaje (%)</w:t>
            </w:r>
          </w:p>
        </w:tc>
        <w:tc>
          <w:tcPr>
            <w:tcW w:w="0" w:type="auto"/>
            <w:hideMark/>
          </w:tcPr>
          <w:p w14:paraId="38EE50EE"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w:t>
            </w:r>
          </w:p>
        </w:tc>
      </w:tr>
      <w:tr w:rsidR="001E09E9" w:rsidRPr="001E09E9" w14:paraId="639AB48E" w14:textId="77777777" w:rsidTr="001E09E9">
        <w:tc>
          <w:tcPr>
            <w:tcW w:w="0" w:type="auto"/>
            <w:hideMark/>
          </w:tcPr>
          <w:p w14:paraId="018EB5E5"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Año base</w:t>
            </w:r>
          </w:p>
        </w:tc>
        <w:tc>
          <w:tcPr>
            <w:tcW w:w="0" w:type="auto"/>
            <w:hideMark/>
          </w:tcPr>
          <w:p w14:paraId="5AE4B123"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2024</w:t>
            </w:r>
          </w:p>
        </w:tc>
        <w:tc>
          <w:tcPr>
            <w:tcW w:w="0" w:type="auto"/>
            <w:hideMark/>
          </w:tcPr>
          <w:p w14:paraId="126C663C"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w:t>
            </w:r>
          </w:p>
        </w:tc>
      </w:tr>
      <w:tr w:rsidR="001E09E9" w:rsidRPr="001E09E9" w14:paraId="1C875315" w14:textId="77777777" w:rsidTr="001E09E9">
        <w:tc>
          <w:tcPr>
            <w:tcW w:w="0" w:type="auto"/>
            <w:hideMark/>
          </w:tcPr>
          <w:p w14:paraId="410DA498"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Valor inicial</w:t>
            </w:r>
          </w:p>
        </w:tc>
        <w:tc>
          <w:tcPr>
            <w:tcW w:w="0" w:type="auto"/>
            <w:hideMark/>
          </w:tcPr>
          <w:p w14:paraId="43704278"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7,8 % (Diagnóstico Nacional 2024)</w:t>
            </w:r>
          </w:p>
        </w:tc>
        <w:tc>
          <w:tcPr>
            <w:tcW w:w="0" w:type="auto"/>
            <w:hideMark/>
          </w:tcPr>
          <w:p w14:paraId="44B2DAF9"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w:t>
            </w:r>
          </w:p>
        </w:tc>
      </w:tr>
      <w:tr w:rsidR="001E09E9" w:rsidRPr="001E09E9" w14:paraId="0131C25D" w14:textId="77777777" w:rsidTr="001E09E9">
        <w:tc>
          <w:tcPr>
            <w:tcW w:w="0" w:type="auto"/>
            <w:hideMark/>
          </w:tcPr>
          <w:p w14:paraId="0E8B1131"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Valor proyectado 2035</w:t>
            </w:r>
          </w:p>
        </w:tc>
        <w:tc>
          <w:tcPr>
            <w:tcW w:w="0" w:type="auto"/>
            <w:hideMark/>
          </w:tcPr>
          <w:p w14:paraId="081F3FFF"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 25 %</w:t>
            </w:r>
          </w:p>
        </w:tc>
        <w:tc>
          <w:tcPr>
            <w:tcW w:w="0" w:type="auto"/>
            <w:hideMark/>
          </w:tcPr>
          <w:p w14:paraId="31E6E025"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w:t>
            </w:r>
          </w:p>
        </w:tc>
      </w:tr>
      <w:tr w:rsidR="001E09E9" w:rsidRPr="001E09E9" w14:paraId="2C90332C" w14:textId="77777777" w:rsidTr="001E09E9">
        <w:tc>
          <w:tcPr>
            <w:tcW w:w="0" w:type="auto"/>
            <w:hideMark/>
          </w:tcPr>
          <w:p w14:paraId="6CFA11DF"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Condicionalidad (%)</w:t>
            </w:r>
          </w:p>
        </w:tc>
        <w:tc>
          <w:tcPr>
            <w:tcW w:w="0" w:type="auto"/>
            <w:hideMark/>
          </w:tcPr>
          <w:p w14:paraId="508C78AB"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60 % condicionado (requiere inversiones, infraestructura y capacitación subnacional)</w:t>
            </w:r>
          </w:p>
        </w:tc>
        <w:tc>
          <w:tcPr>
            <w:tcW w:w="0" w:type="auto"/>
            <w:hideMark/>
          </w:tcPr>
          <w:p w14:paraId="37FE29A3"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w:t>
            </w:r>
          </w:p>
        </w:tc>
      </w:tr>
      <w:tr w:rsidR="001E09E9" w:rsidRPr="001E09E9" w14:paraId="5231D42E" w14:textId="77777777" w:rsidTr="001E09E9">
        <w:tc>
          <w:tcPr>
            <w:tcW w:w="0" w:type="auto"/>
            <w:hideMark/>
          </w:tcPr>
          <w:p w14:paraId="3307FA79"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lastRenderedPageBreak/>
              <w:t>Descripción metodológica</w:t>
            </w:r>
          </w:p>
        </w:tc>
        <w:tc>
          <w:tcPr>
            <w:tcW w:w="0" w:type="auto"/>
            <w:hideMark/>
          </w:tcPr>
          <w:p w14:paraId="5420C57A"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Estimación basada en el total de residuos valorizados por vía de reciclaje, compostaje, co-procesamiento y valorización energética.</w:t>
            </w:r>
          </w:p>
        </w:tc>
        <w:tc>
          <w:tcPr>
            <w:tcW w:w="0" w:type="auto"/>
            <w:hideMark/>
          </w:tcPr>
          <w:p w14:paraId="0844CB24"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Ver fórmula principal.</w:t>
            </w:r>
          </w:p>
        </w:tc>
      </w:tr>
      <w:tr w:rsidR="001E09E9" w:rsidRPr="001E09E9" w14:paraId="27399006" w14:textId="77777777" w:rsidTr="001E09E9">
        <w:tc>
          <w:tcPr>
            <w:tcW w:w="0" w:type="auto"/>
            <w:hideMark/>
          </w:tcPr>
          <w:p w14:paraId="5CA5DA13"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Cálculo de reducción de GEI asociada (referencial)</w:t>
            </w:r>
          </w:p>
        </w:tc>
        <w:tc>
          <w:tcPr>
            <w:tcW w:w="0" w:type="auto"/>
            <w:hideMark/>
          </w:tcPr>
          <w:p w14:paraId="61AC0449"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Estimación de emisiones evitadas por desvío de residuos orgánicos de la disposición final.</w:t>
            </w:r>
          </w:p>
        </w:tc>
        <w:tc>
          <w:tcPr>
            <w:tcW w:w="0" w:type="auto"/>
            <w:hideMark/>
          </w:tcPr>
          <w:p w14:paraId="1F2D4840" w14:textId="77777777" w:rsidR="001E09E9" w:rsidRPr="001E09E9" w:rsidRDefault="001E09E9" w:rsidP="001E09E9">
            <w:pPr>
              <w:spacing w:before="0" w:after="0"/>
              <w:jc w:val="left"/>
              <w:rPr>
                <w:rFonts w:eastAsia="Times New Roman" w:cs="Times New Roman"/>
                <w:szCs w:val="24"/>
                <w:lang w:eastAsia="es-BO"/>
              </w:rPr>
            </w:pPr>
            <w:r w:rsidRPr="001E09E9">
              <w:rPr>
                <w:rFonts w:eastAsia="Times New Roman" w:cs="Times New Roman"/>
                <w:szCs w:val="24"/>
                <w:lang w:eastAsia="es-BO"/>
              </w:rPr>
              <w:t>ERₙ = (Q_org × EF_CH₄ × GWP_CH₄) / 1,000 Donde: ERₙ = Emisiones evitadas (tCO₂e) Q_org = toneladas de residuos orgánicos valorizados EF_CH₄ = Factor de emisión CH₄ (tCH₄/t) GWP_CH₄ = 28 (IPCC 2006 AR5)</w:t>
            </w:r>
          </w:p>
        </w:tc>
      </w:tr>
    </w:tbl>
    <w:bookmarkEnd w:id="3"/>
    <w:p w14:paraId="689ADF41" w14:textId="18977E06" w:rsidR="00BA01D4" w:rsidRDefault="00BA01D4" w:rsidP="00771C01">
      <w:pPr>
        <w:pStyle w:val="Prrafodelista"/>
        <w:numPr>
          <w:ilvl w:val="2"/>
          <w:numId w:val="7"/>
        </w:numPr>
        <w:spacing w:before="100" w:beforeAutospacing="1" w:after="100" w:afterAutospacing="1" w:line="240" w:lineRule="auto"/>
        <w:jc w:val="left"/>
        <w:rPr>
          <w:rFonts w:eastAsia="Times New Roman" w:cs="Times New Roman"/>
          <w:b/>
          <w:szCs w:val="24"/>
          <w:lang w:eastAsia="es-BO"/>
        </w:rPr>
      </w:pPr>
      <w:r w:rsidRPr="00F6693D">
        <w:rPr>
          <w:rFonts w:eastAsia="Times New Roman" w:cs="Times New Roman"/>
          <w:b/>
          <w:szCs w:val="24"/>
          <w:lang w:eastAsia="es-BO"/>
        </w:rPr>
        <w:t xml:space="preserve">Principales acciones de la meta </w:t>
      </w:r>
      <w:r w:rsidR="00C21425" w:rsidRPr="00F6693D">
        <w:rPr>
          <w:rFonts w:eastAsia="Times New Roman" w:cs="Times New Roman"/>
          <w:b/>
          <w:szCs w:val="24"/>
          <w:lang w:eastAsia="es-BO"/>
        </w:rPr>
        <w:t>“Valorización de residuos sólidos”</w:t>
      </w:r>
      <w:r w:rsidRPr="00F6693D">
        <w:rPr>
          <w:rFonts w:eastAsia="Times New Roman" w:cs="Times New Roman"/>
          <w:b/>
          <w:szCs w:val="24"/>
          <w:lang w:eastAsia="es-BO"/>
        </w:rPr>
        <w:t xml:space="preserve"> </w:t>
      </w:r>
    </w:p>
    <w:p w14:paraId="06CA6B59" w14:textId="77777777" w:rsidR="00F6693D" w:rsidRPr="00F6693D" w:rsidRDefault="00F6693D" w:rsidP="00F6693D">
      <w:pPr>
        <w:pStyle w:val="Prrafodelista"/>
        <w:spacing w:before="100" w:beforeAutospacing="1" w:after="100" w:afterAutospacing="1" w:line="240" w:lineRule="auto"/>
        <w:jc w:val="left"/>
        <w:rPr>
          <w:rFonts w:eastAsia="Times New Roman" w:cs="Times New Roman"/>
          <w:b/>
          <w:szCs w:val="24"/>
          <w:lang w:eastAsia="es-BO"/>
        </w:rPr>
      </w:pPr>
    </w:p>
    <w:p w14:paraId="2FCE0AB8" w14:textId="77777777" w:rsidR="001E09E9" w:rsidRDefault="001E09E9" w:rsidP="001E09E9">
      <w:pPr>
        <w:pStyle w:val="Prrafodelista"/>
        <w:numPr>
          <w:ilvl w:val="0"/>
          <w:numId w:val="9"/>
        </w:numPr>
        <w:rPr>
          <w:lang w:eastAsia="es-BO"/>
        </w:rPr>
      </w:pPr>
      <w:r>
        <w:rPr>
          <w:lang w:eastAsia="es-BO"/>
        </w:rPr>
        <w:t>Escalar plataformas de reciclaje inclusivo y formalización de recicladores en municipios intermedios y capitales.</w:t>
      </w:r>
    </w:p>
    <w:p w14:paraId="1034F8BB" w14:textId="1ED2C02D" w:rsidR="001E09E9" w:rsidRDefault="001E09E9" w:rsidP="001E09E9">
      <w:pPr>
        <w:pStyle w:val="Prrafodelista"/>
        <w:numPr>
          <w:ilvl w:val="0"/>
          <w:numId w:val="9"/>
        </w:numPr>
        <w:rPr>
          <w:lang w:eastAsia="es-BO"/>
        </w:rPr>
      </w:pPr>
      <w:r>
        <w:rPr>
          <w:lang w:eastAsia="es-BO"/>
        </w:rPr>
        <w:t>Instalar plantas de compostaje urbano y descentralizado, integradas a mercados.</w:t>
      </w:r>
    </w:p>
    <w:p w14:paraId="6176D608" w14:textId="77777777" w:rsidR="001E09E9" w:rsidRDefault="001E09E9" w:rsidP="001E09E9">
      <w:pPr>
        <w:pStyle w:val="Prrafodelista"/>
        <w:numPr>
          <w:ilvl w:val="0"/>
          <w:numId w:val="9"/>
        </w:numPr>
        <w:rPr>
          <w:lang w:eastAsia="es-BO"/>
        </w:rPr>
      </w:pPr>
      <w:r>
        <w:rPr>
          <w:lang w:eastAsia="es-BO"/>
        </w:rPr>
        <w:t>Incorporar el co-procesamiento de fracciones no reciclables en hornos cementeros.</w:t>
      </w:r>
    </w:p>
    <w:p w14:paraId="716BF227" w14:textId="77777777" w:rsidR="001E09E9" w:rsidRDefault="001E09E9" w:rsidP="001E09E9">
      <w:pPr>
        <w:pStyle w:val="Prrafodelista"/>
        <w:numPr>
          <w:ilvl w:val="0"/>
          <w:numId w:val="9"/>
        </w:numPr>
        <w:rPr>
          <w:lang w:eastAsia="es-BO"/>
        </w:rPr>
      </w:pPr>
      <w:r>
        <w:rPr>
          <w:lang w:eastAsia="es-BO"/>
        </w:rPr>
        <w:t>Fomentar soluciones de valorización energética mediante biodigestores u otras tecnologías piloto.</w:t>
      </w:r>
    </w:p>
    <w:p w14:paraId="09531173" w14:textId="62407A89" w:rsidR="002306ED" w:rsidRDefault="001E09E9" w:rsidP="001E09E9">
      <w:pPr>
        <w:pStyle w:val="Prrafodelista"/>
        <w:numPr>
          <w:ilvl w:val="0"/>
          <w:numId w:val="9"/>
        </w:numPr>
        <w:rPr>
          <w:lang w:eastAsia="es-BO"/>
        </w:rPr>
      </w:pPr>
      <w:r>
        <w:rPr>
          <w:lang w:eastAsia="es-BO"/>
        </w:rPr>
        <w:t>Implementar sistemas de recolección diferenciada en municipios, articulados con el REP.</w:t>
      </w:r>
    </w:p>
    <w:p w14:paraId="380C8C9C" w14:textId="77777777" w:rsidR="00166888" w:rsidRPr="00F6693D" w:rsidRDefault="00166888" w:rsidP="00166888">
      <w:pPr>
        <w:pStyle w:val="Prrafodelista"/>
        <w:rPr>
          <w:lang w:eastAsia="es-BO"/>
        </w:rPr>
      </w:pPr>
    </w:p>
    <w:p w14:paraId="495F4467" w14:textId="6C9936B9" w:rsidR="00A85BC1" w:rsidRPr="00F6693D" w:rsidRDefault="00C21425" w:rsidP="00A85BC1">
      <w:pPr>
        <w:rPr>
          <w:b/>
          <w:lang w:eastAsia="es-BO"/>
        </w:rPr>
      </w:pPr>
      <w:r w:rsidRPr="00F6693D">
        <w:rPr>
          <w:b/>
          <w:lang w:eastAsia="es-BO"/>
        </w:rPr>
        <w:t>2</w:t>
      </w:r>
      <w:r w:rsidR="00D6511E" w:rsidRPr="00F6693D">
        <w:rPr>
          <w:b/>
          <w:lang w:eastAsia="es-BO"/>
        </w:rPr>
        <w:t>.1.</w:t>
      </w:r>
      <w:r w:rsidR="00F6693D">
        <w:rPr>
          <w:b/>
          <w:lang w:eastAsia="es-BO"/>
        </w:rPr>
        <w:t>4</w:t>
      </w:r>
      <w:r w:rsidRPr="00F6693D">
        <w:rPr>
          <w:b/>
          <w:lang w:eastAsia="es-BO"/>
        </w:rPr>
        <w:tab/>
      </w:r>
      <w:r w:rsidR="00D6511E" w:rsidRPr="00F6693D">
        <w:rPr>
          <w:b/>
          <w:lang w:eastAsia="es-BO"/>
        </w:rPr>
        <w:t xml:space="preserve"> </w:t>
      </w:r>
      <w:r w:rsidR="002306ED" w:rsidRPr="00F6693D">
        <w:rPr>
          <w:b/>
          <w:lang w:eastAsia="es-BO"/>
        </w:rPr>
        <w:t xml:space="preserve">Articulaciones estratégicas y sinergias </w:t>
      </w:r>
    </w:p>
    <w:p w14:paraId="7496C14A" w14:textId="4BCE82D7" w:rsidR="002306ED" w:rsidRPr="00F6693D" w:rsidRDefault="002306ED" w:rsidP="002306ED">
      <w:pPr>
        <w:rPr>
          <w:lang w:eastAsia="es-BO"/>
        </w:rPr>
      </w:pPr>
      <w:r w:rsidRPr="00F6693D">
        <w:rPr>
          <w:lang w:eastAsia="es-BO"/>
        </w:rPr>
        <w:t xml:space="preserve">La meta de valorización de residuos sólidos se articula directamente con el </w:t>
      </w:r>
      <w:r w:rsidRPr="00F6693D">
        <w:rPr>
          <w:b/>
          <w:bCs/>
          <w:lang w:eastAsia="es-BO"/>
        </w:rPr>
        <w:t>Objetivo de Desarrollo Sostenible (ODS) 8</w:t>
      </w:r>
      <w:r w:rsidRPr="00F6693D">
        <w:rPr>
          <w:lang w:eastAsia="es-BO"/>
        </w:rPr>
        <w:t xml:space="preserve">, al fomentar la creación de empleos verdes e inclusivos mediante el fortalecimiento de cadenas de reciclaje y la incorporación de recicladores de base. Contribuye también al </w:t>
      </w:r>
      <w:r w:rsidRPr="00F6693D">
        <w:rPr>
          <w:b/>
          <w:bCs/>
          <w:lang w:eastAsia="es-BO"/>
        </w:rPr>
        <w:t>ODS 11</w:t>
      </w:r>
      <w:r w:rsidRPr="00F6693D">
        <w:rPr>
          <w:lang w:eastAsia="es-BO"/>
        </w:rPr>
        <w:t xml:space="preserve">, promoviendo ciudades y comunidades más sostenibles a través de sistemas de gestión de residuos más eficientes y resilientes. Se vincula estrechamente con el </w:t>
      </w:r>
      <w:r w:rsidRPr="00F6693D">
        <w:rPr>
          <w:b/>
          <w:bCs/>
          <w:lang w:eastAsia="es-BO"/>
        </w:rPr>
        <w:t>ODS 12</w:t>
      </w:r>
      <w:r w:rsidRPr="00F6693D">
        <w:rPr>
          <w:lang w:eastAsia="es-BO"/>
        </w:rPr>
        <w:t xml:space="preserve">, al impulsar prácticas de producción y consumo responsables mediante la valorización de residuos orgánicos e inorgánicos. Finalmente, apoya el </w:t>
      </w:r>
      <w:r w:rsidRPr="00F6693D">
        <w:rPr>
          <w:b/>
          <w:bCs/>
          <w:lang w:eastAsia="es-BO"/>
        </w:rPr>
        <w:t>ODS 13</w:t>
      </w:r>
      <w:r w:rsidRPr="00F6693D">
        <w:rPr>
          <w:lang w:eastAsia="es-BO"/>
        </w:rPr>
        <w:t>, al reducir las emisiones de gases de efecto invernadero generadas por la disposición inadecuada de residuos y fomentar la acción climática en el ámbito urbano y municipal.</w:t>
      </w:r>
    </w:p>
    <w:p w14:paraId="59AAFD78" w14:textId="77777777" w:rsidR="002306ED" w:rsidRPr="00F6693D" w:rsidRDefault="002306ED" w:rsidP="002306ED">
      <w:pPr>
        <w:rPr>
          <w:lang w:eastAsia="es-BO"/>
        </w:rPr>
      </w:pPr>
      <w:r w:rsidRPr="00F6693D">
        <w:rPr>
          <w:lang w:eastAsia="es-BO"/>
        </w:rPr>
        <w:t>A nivel de compromisos internacionales, la meta se alinea con el Acuerdo de París, mediante la implementación de medidas de mitigación basadas en economía circular y reducción de emisiones de metano. Contribuye también al cumplimiento del Convenio de Basilea, al promover el manejo ambientalmente racional de los residuos y su valorización en lugar de su eliminación inadecuada.</w:t>
      </w:r>
    </w:p>
    <w:p w14:paraId="7074146F" w14:textId="77777777" w:rsidR="002306ED" w:rsidRPr="00F6693D" w:rsidRDefault="002306ED" w:rsidP="002306ED">
      <w:pPr>
        <w:rPr>
          <w:lang w:eastAsia="es-BO"/>
        </w:rPr>
      </w:pPr>
      <w:r w:rsidRPr="00F6693D">
        <w:rPr>
          <w:lang w:eastAsia="es-BO"/>
        </w:rPr>
        <w:t>En el plano nacional, esta meta se articula con:</w:t>
      </w:r>
    </w:p>
    <w:p w14:paraId="4138247D" w14:textId="25B862FF" w:rsidR="002306ED" w:rsidRPr="00F6693D" w:rsidRDefault="004678EA" w:rsidP="00771C01">
      <w:pPr>
        <w:pStyle w:val="Prrafodelista"/>
        <w:numPr>
          <w:ilvl w:val="0"/>
          <w:numId w:val="10"/>
        </w:numPr>
        <w:rPr>
          <w:lang w:eastAsia="es-BO"/>
        </w:rPr>
      </w:pPr>
      <w:r w:rsidRPr="00F6693D">
        <w:rPr>
          <w:b/>
          <w:bCs/>
          <w:lang w:eastAsia="es-BO"/>
        </w:rPr>
        <w:t>Plan de Desarrollo Económico y Social (PDES) 2021–2025</w:t>
      </w:r>
      <w:r w:rsidRPr="00F6693D">
        <w:rPr>
          <w:lang w:eastAsia="es-BO"/>
        </w:rPr>
        <w:t>, aprobado por Ley N.º 1407.</w:t>
      </w:r>
    </w:p>
    <w:p w14:paraId="2DBAA9CE" w14:textId="59F6EEAF" w:rsidR="004678EA" w:rsidRPr="00F6693D" w:rsidRDefault="004678EA" w:rsidP="00771C01">
      <w:pPr>
        <w:pStyle w:val="Prrafodelista"/>
        <w:numPr>
          <w:ilvl w:val="0"/>
          <w:numId w:val="10"/>
        </w:numPr>
        <w:rPr>
          <w:lang w:eastAsia="es-BO"/>
        </w:rPr>
      </w:pPr>
      <w:r w:rsidRPr="00F6693D">
        <w:rPr>
          <w:b/>
          <w:bCs/>
          <w:lang w:eastAsia="es-BO"/>
        </w:rPr>
        <w:lastRenderedPageBreak/>
        <w:t>Plan Sectorial de Desarrollo Integral para Vivir Bien – Saneamiento Básico (2021–2025)</w:t>
      </w:r>
      <w:r w:rsidRPr="00F6693D">
        <w:rPr>
          <w:lang w:eastAsia="es-BO"/>
        </w:rPr>
        <w:t>, aprobado por RM N.º 436:</w:t>
      </w:r>
    </w:p>
    <w:p w14:paraId="21DC9D30" w14:textId="547B2067" w:rsidR="002306ED" w:rsidRDefault="004678EA" w:rsidP="00771C01">
      <w:pPr>
        <w:pStyle w:val="Prrafodelista"/>
        <w:numPr>
          <w:ilvl w:val="0"/>
          <w:numId w:val="10"/>
        </w:numPr>
        <w:rPr>
          <w:lang w:eastAsia="es-BO"/>
        </w:rPr>
      </w:pPr>
      <w:r w:rsidRPr="00F6693D">
        <w:rPr>
          <w:b/>
          <w:bCs/>
          <w:lang w:eastAsia="es-BO"/>
        </w:rPr>
        <w:t>Plan de Implementación de la Ley N.º 755 de Gestión Integral de Residuos</w:t>
      </w:r>
      <w:r w:rsidRPr="00F6693D">
        <w:rPr>
          <w:lang w:eastAsia="es-BO"/>
        </w:rPr>
        <w:t>, aprobado por RM N.º 489 (2016)</w:t>
      </w:r>
    </w:p>
    <w:p w14:paraId="1296E032" w14:textId="77777777" w:rsidR="00166888" w:rsidRPr="00F6693D" w:rsidRDefault="00166888" w:rsidP="00166888">
      <w:pPr>
        <w:pStyle w:val="Prrafodelista"/>
        <w:rPr>
          <w:lang w:eastAsia="es-BO"/>
        </w:rPr>
      </w:pPr>
    </w:p>
    <w:p w14:paraId="631D6D85" w14:textId="3142FCE4" w:rsidR="00BA01D4" w:rsidRPr="00F6693D" w:rsidRDefault="007344B9" w:rsidP="007344B9">
      <w:pPr>
        <w:pStyle w:val="Ttulo3"/>
        <w:numPr>
          <w:ilvl w:val="0"/>
          <w:numId w:val="0"/>
        </w:numPr>
      </w:pPr>
      <w:bookmarkStart w:id="4" w:name="_Toc203484727"/>
      <w:r w:rsidRPr="00F6693D">
        <w:t>2.2.</w:t>
      </w:r>
      <w:r w:rsidR="00A408F3" w:rsidRPr="00F6693D">
        <w:tab/>
      </w:r>
      <w:r w:rsidR="00166888" w:rsidRPr="00F6693D">
        <w:t xml:space="preserve">METAS 2 </w:t>
      </w:r>
      <w:bookmarkEnd w:id="4"/>
      <w:r w:rsidR="00166888" w:rsidRPr="006C0139">
        <w:rPr>
          <w:highlight w:val="yellow"/>
        </w:rPr>
        <w:t>“DISPOSICIÓN FINAL DE RESIDUOS SÓLIDOS”</w:t>
      </w:r>
      <w:r w:rsidR="00166888" w:rsidRPr="00F6693D">
        <w:t xml:space="preserve"> </w:t>
      </w:r>
    </w:p>
    <w:p w14:paraId="6D171FAE" w14:textId="5F407E81" w:rsidR="00BA01D4" w:rsidRPr="00F6693D" w:rsidRDefault="00C21425" w:rsidP="00BA01D4">
      <w:r w:rsidRPr="00F6693D">
        <w:t>Hasta 2035, se reducirá en al menos 50% las emisiones de GEI provenientes de la disposición final de residuos mediante el cierre progresivo de botaderos, la construcción de rellenos sanitarios con sistemas de captura de biogás, y la implementación de medidas climáticamente adecuadas para la disposición final.</w:t>
      </w:r>
    </w:p>
    <w:p w14:paraId="589F4195" w14:textId="454EBE9F" w:rsidR="00A408F3" w:rsidRPr="00F6693D" w:rsidRDefault="00BA01D4" w:rsidP="00771C01">
      <w:pPr>
        <w:pStyle w:val="Prrafodelista"/>
        <w:numPr>
          <w:ilvl w:val="2"/>
          <w:numId w:val="14"/>
        </w:numPr>
      </w:pPr>
      <w:r w:rsidRPr="00F6693D">
        <w:rPr>
          <w:b/>
        </w:rPr>
        <w:t>Descripción:</w:t>
      </w:r>
      <w:r w:rsidRPr="00F6693D">
        <w:t xml:space="preserve"> </w:t>
      </w:r>
    </w:p>
    <w:p w14:paraId="22718E43" w14:textId="38921E40" w:rsidR="00BA01D4" w:rsidRPr="00F6693D" w:rsidRDefault="00C21425" w:rsidP="00A408F3">
      <w:r w:rsidRPr="00F6693D">
        <w:t>La disposición final inadecuada es actualmente la principal fuente de emisiones de GEI del sector residuos, especialmente por la generación de metano en botaderos abiertos. Esta meta busca revertir esta situación a través de un programa nacional de clausura técnica de botaderos y su reemplazo por rellenos sanitarios regionales y municipales que incorporen criterios de sostenibilidad climática. Se implementarán sistemas de drenaje y quema o aprovechamiento energético de biogás, control de lixiviados y monitoreo de emisiones. Se priorizará el cierre de botaderos en áreas urbanas mayores y la formalización de sitios en municipios intermedios. Esta intervención permitirá una disminución significativa de emisiones y una mejora integral en la salud ambiental urbana.</w:t>
      </w:r>
    </w:p>
    <w:p w14:paraId="796B6FD6" w14:textId="454D40BB" w:rsidR="00BA01D4" w:rsidRPr="00F6693D" w:rsidRDefault="00BA01D4" w:rsidP="00BA01D4">
      <w:p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b/>
          <w:bCs/>
          <w:szCs w:val="24"/>
          <w:lang w:eastAsia="es-BO"/>
        </w:rPr>
        <w:t xml:space="preserve"> </w:t>
      </w:r>
      <w:r w:rsidR="00166888" w:rsidRPr="00166888">
        <w:rPr>
          <w:rFonts w:eastAsia="Times New Roman" w:cs="Times New Roman"/>
          <w:b/>
          <w:bCs/>
          <w:szCs w:val="24"/>
          <w:lang w:eastAsia="es-BO"/>
        </w:rPr>
        <w:t>2.</w:t>
      </w:r>
      <w:r w:rsidR="00166888">
        <w:rPr>
          <w:rFonts w:eastAsia="Times New Roman" w:cs="Times New Roman"/>
          <w:b/>
          <w:bCs/>
          <w:szCs w:val="24"/>
          <w:lang w:eastAsia="es-BO"/>
        </w:rPr>
        <w:t>2</w:t>
      </w:r>
      <w:r w:rsidR="00166888" w:rsidRPr="00166888">
        <w:rPr>
          <w:rFonts w:eastAsia="Times New Roman" w:cs="Times New Roman"/>
          <w:b/>
          <w:bCs/>
          <w:szCs w:val="24"/>
          <w:lang w:eastAsia="es-BO"/>
        </w:rPr>
        <w:t>.2.</w:t>
      </w:r>
      <w:r w:rsidR="00166888" w:rsidRPr="00166888">
        <w:rPr>
          <w:rFonts w:eastAsia="Times New Roman" w:cs="Times New Roman"/>
          <w:b/>
          <w:bCs/>
          <w:szCs w:val="24"/>
          <w:lang w:eastAsia="es-BO"/>
        </w:rPr>
        <w:tab/>
        <w:t xml:space="preserve">Indicadores y metodología meta </w:t>
      </w:r>
      <w:r w:rsidR="00166888">
        <w:rPr>
          <w:rFonts w:eastAsia="Times New Roman" w:cs="Times New Roman"/>
          <w:b/>
          <w:bCs/>
          <w:szCs w:val="24"/>
          <w:lang w:eastAsia="es-BO"/>
        </w:rPr>
        <w:t>2</w:t>
      </w:r>
    </w:p>
    <w:tbl>
      <w:tblPr>
        <w:tblStyle w:val="Tablaconcuadrcula"/>
        <w:tblW w:w="0" w:type="auto"/>
        <w:tblLook w:val="04A0" w:firstRow="1" w:lastRow="0" w:firstColumn="1" w:lastColumn="0" w:noHBand="0" w:noVBand="1"/>
      </w:tblPr>
      <w:tblGrid>
        <w:gridCol w:w="2191"/>
        <w:gridCol w:w="6303"/>
      </w:tblGrid>
      <w:tr w:rsidR="00C21425" w:rsidRPr="00C21425" w14:paraId="5CD57DF8" w14:textId="77777777" w:rsidTr="00C21425">
        <w:tc>
          <w:tcPr>
            <w:tcW w:w="0" w:type="auto"/>
            <w:hideMark/>
          </w:tcPr>
          <w:p w14:paraId="4931163E" w14:textId="77777777" w:rsidR="00C21425" w:rsidRPr="00C21425" w:rsidRDefault="00C21425" w:rsidP="00C21425">
            <w:pPr>
              <w:spacing w:before="0" w:after="0"/>
              <w:jc w:val="center"/>
              <w:rPr>
                <w:rFonts w:eastAsia="Times New Roman" w:cs="Times New Roman"/>
                <w:b/>
                <w:bCs/>
                <w:szCs w:val="24"/>
                <w:lang w:eastAsia="es-BO"/>
              </w:rPr>
            </w:pPr>
            <w:r w:rsidRPr="00C21425">
              <w:rPr>
                <w:rFonts w:eastAsia="Times New Roman" w:cs="Times New Roman"/>
                <w:b/>
                <w:bCs/>
                <w:szCs w:val="24"/>
                <w:lang w:eastAsia="es-BO"/>
              </w:rPr>
              <w:t>Elemento</w:t>
            </w:r>
          </w:p>
        </w:tc>
        <w:tc>
          <w:tcPr>
            <w:tcW w:w="0" w:type="auto"/>
            <w:hideMark/>
          </w:tcPr>
          <w:p w14:paraId="7B2F3371" w14:textId="77777777" w:rsidR="00C21425" w:rsidRPr="00C21425" w:rsidRDefault="00C21425" w:rsidP="00C21425">
            <w:pPr>
              <w:spacing w:before="0" w:after="0"/>
              <w:jc w:val="center"/>
              <w:rPr>
                <w:rFonts w:eastAsia="Times New Roman" w:cs="Times New Roman"/>
                <w:b/>
                <w:bCs/>
                <w:szCs w:val="24"/>
                <w:lang w:eastAsia="es-BO"/>
              </w:rPr>
            </w:pPr>
            <w:r w:rsidRPr="00C21425">
              <w:rPr>
                <w:rFonts w:eastAsia="Times New Roman" w:cs="Times New Roman"/>
                <w:b/>
                <w:bCs/>
                <w:szCs w:val="24"/>
                <w:lang w:eastAsia="es-BO"/>
              </w:rPr>
              <w:t>Descripción</w:t>
            </w:r>
          </w:p>
        </w:tc>
      </w:tr>
      <w:tr w:rsidR="00C21425" w:rsidRPr="00C21425" w14:paraId="1E8F6B8A" w14:textId="77777777" w:rsidTr="00C21425">
        <w:tc>
          <w:tcPr>
            <w:tcW w:w="0" w:type="auto"/>
            <w:hideMark/>
          </w:tcPr>
          <w:p w14:paraId="054E801E"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Indicador principal</w:t>
            </w:r>
          </w:p>
        </w:tc>
        <w:tc>
          <w:tcPr>
            <w:tcW w:w="0" w:type="auto"/>
            <w:hideMark/>
          </w:tcPr>
          <w:p w14:paraId="2F95BD64"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Toneladas de CO₂e evitadas por mejora en disposición final</w:t>
            </w:r>
          </w:p>
        </w:tc>
      </w:tr>
      <w:tr w:rsidR="00C21425" w:rsidRPr="00C21425" w14:paraId="7EAB3A63" w14:textId="77777777" w:rsidTr="00C21425">
        <w:tc>
          <w:tcPr>
            <w:tcW w:w="0" w:type="auto"/>
            <w:hideMark/>
          </w:tcPr>
          <w:p w14:paraId="7F1D482C"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Unidad de medida</w:t>
            </w:r>
          </w:p>
        </w:tc>
        <w:tc>
          <w:tcPr>
            <w:tcW w:w="0" w:type="auto"/>
            <w:hideMark/>
          </w:tcPr>
          <w:p w14:paraId="2166C549"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Gg CO₂e</w:t>
            </w:r>
          </w:p>
        </w:tc>
      </w:tr>
      <w:tr w:rsidR="00C21425" w:rsidRPr="00C21425" w14:paraId="2095CAEC" w14:textId="77777777" w:rsidTr="00C21425">
        <w:tc>
          <w:tcPr>
            <w:tcW w:w="0" w:type="auto"/>
            <w:hideMark/>
          </w:tcPr>
          <w:p w14:paraId="09EBE300"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Año base</w:t>
            </w:r>
          </w:p>
        </w:tc>
        <w:tc>
          <w:tcPr>
            <w:tcW w:w="0" w:type="auto"/>
            <w:hideMark/>
          </w:tcPr>
          <w:p w14:paraId="3970345E"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2024</w:t>
            </w:r>
          </w:p>
        </w:tc>
      </w:tr>
      <w:tr w:rsidR="00C21425" w:rsidRPr="00C21425" w14:paraId="0D2D1F03" w14:textId="77777777" w:rsidTr="00C21425">
        <w:tc>
          <w:tcPr>
            <w:tcW w:w="0" w:type="auto"/>
            <w:hideMark/>
          </w:tcPr>
          <w:p w14:paraId="2D96923B"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Valor inicial</w:t>
            </w:r>
          </w:p>
        </w:tc>
        <w:tc>
          <w:tcPr>
            <w:tcW w:w="0" w:type="auto"/>
            <w:hideMark/>
          </w:tcPr>
          <w:p w14:paraId="0474BAC1"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1.461 Gg CO₂e</w:t>
            </w:r>
          </w:p>
        </w:tc>
      </w:tr>
      <w:tr w:rsidR="00C21425" w:rsidRPr="00C21425" w14:paraId="28547944" w14:textId="77777777" w:rsidTr="00C21425">
        <w:tc>
          <w:tcPr>
            <w:tcW w:w="0" w:type="auto"/>
            <w:hideMark/>
          </w:tcPr>
          <w:p w14:paraId="170B5F9A"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Valor proyectado 2035</w:t>
            </w:r>
          </w:p>
        </w:tc>
        <w:tc>
          <w:tcPr>
            <w:tcW w:w="0" w:type="auto"/>
            <w:hideMark/>
          </w:tcPr>
          <w:p w14:paraId="2A5F628D"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990 Gg CO₂e (reducción de ~470 Gg CO₂e)</w:t>
            </w:r>
          </w:p>
        </w:tc>
      </w:tr>
      <w:tr w:rsidR="00C21425" w:rsidRPr="00C21425" w14:paraId="08E069B1" w14:textId="77777777" w:rsidTr="00C21425">
        <w:tc>
          <w:tcPr>
            <w:tcW w:w="0" w:type="auto"/>
            <w:hideMark/>
          </w:tcPr>
          <w:p w14:paraId="4BBCE877"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Condicionalidad (%)</w:t>
            </w:r>
          </w:p>
        </w:tc>
        <w:tc>
          <w:tcPr>
            <w:tcW w:w="0" w:type="auto"/>
            <w:hideMark/>
          </w:tcPr>
          <w:p w14:paraId="292EF101" w14:textId="0705B5C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60% condicionado</w:t>
            </w:r>
            <w:r w:rsidR="008E47D0" w:rsidRPr="00F6693D">
              <w:rPr>
                <w:rFonts w:eastAsia="Times New Roman" w:cs="Times New Roman"/>
                <w:szCs w:val="24"/>
                <w:lang w:eastAsia="es-BO"/>
              </w:rPr>
              <w:t xml:space="preserve"> (requiere financiamiento internacional y transferencia tecnológica)</w:t>
            </w:r>
          </w:p>
        </w:tc>
      </w:tr>
      <w:tr w:rsidR="00C21425" w:rsidRPr="00C21425" w14:paraId="27701D82" w14:textId="77777777" w:rsidTr="00C21425">
        <w:tc>
          <w:tcPr>
            <w:tcW w:w="0" w:type="auto"/>
            <w:hideMark/>
          </w:tcPr>
          <w:p w14:paraId="244352DD"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Descripción metodológica</w:t>
            </w:r>
          </w:p>
        </w:tc>
        <w:tc>
          <w:tcPr>
            <w:tcW w:w="0" w:type="auto"/>
            <w:hideMark/>
          </w:tcPr>
          <w:p w14:paraId="45CEBE87" w14:textId="77777777" w:rsidR="00C21425" w:rsidRPr="00C21425" w:rsidRDefault="00C21425" w:rsidP="00C21425">
            <w:pPr>
              <w:spacing w:before="0" w:after="0"/>
              <w:jc w:val="left"/>
              <w:rPr>
                <w:rFonts w:eastAsia="Times New Roman" w:cs="Times New Roman"/>
                <w:szCs w:val="24"/>
                <w:lang w:eastAsia="es-BO"/>
              </w:rPr>
            </w:pPr>
            <w:r w:rsidRPr="00C21425">
              <w:rPr>
                <w:rFonts w:eastAsia="Times New Roman" w:cs="Times New Roman"/>
                <w:szCs w:val="24"/>
                <w:lang w:eastAsia="es-BO"/>
              </w:rPr>
              <w:t>Metodología IPCC 2006 FOD y MC; modelo de degradación 1st order; factores nacionales ajustados con línea base validada (2024)</w:t>
            </w:r>
          </w:p>
        </w:tc>
      </w:tr>
    </w:tbl>
    <w:p w14:paraId="54795586" w14:textId="3D7A6FCA" w:rsidR="00BA01D4" w:rsidRPr="00F6693D" w:rsidRDefault="007344B9" w:rsidP="00BA01D4">
      <w:p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b/>
          <w:bCs/>
          <w:szCs w:val="24"/>
          <w:lang w:eastAsia="es-BO"/>
        </w:rPr>
        <w:t>2.2.</w:t>
      </w:r>
      <w:r w:rsidR="00166888">
        <w:rPr>
          <w:rFonts w:eastAsia="Times New Roman" w:cs="Times New Roman"/>
          <w:b/>
          <w:bCs/>
          <w:szCs w:val="24"/>
          <w:lang w:eastAsia="es-BO"/>
        </w:rPr>
        <w:t>3</w:t>
      </w:r>
      <w:r w:rsidRPr="00F6693D">
        <w:rPr>
          <w:rFonts w:eastAsia="Times New Roman" w:cs="Times New Roman"/>
          <w:b/>
          <w:bCs/>
          <w:szCs w:val="24"/>
          <w:lang w:eastAsia="es-BO"/>
        </w:rPr>
        <w:t xml:space="preserve">. </w:t>
      </w:r>
      <w:r w:rsidRPr="00F6693D">
        <w:rPr>
          <w:rFonts w:eastAsia="Times New Roman" w:cs="Times New Roman"/>
          <w:b/>
          <w:bCs/>
          <w:szCs w:val="24"/>
          <w:lang w:eastAsia="es-BO"/>
        </w:rPr>
        <w:tab/>
      </w:r>
      <w:r w:rsidR="00BA01D4" w:rsidRPr="00F6693D">
        <w:rPr>
          <w:rFonts w:eastAsia="Times New Roman" w:cs="Times New Roman"/>
          <w:b/>
          <w:bCs/>
          <w:szCs w:val="24"/>
          <w:lang w:eastAsia="es-BO"/>
        </w:rPr>
        <w:t xml:space="preserve">Principales acciones de la meta </w:t>
      </w:r>
      <w:r w:rsidR="00C21425" w:rsidRPr="00F6693D">
        <w:rPr>
          <w:rFonts w:eastAsia="Times New Roman" w:cs="Times New Roman"/>
          <w:b/>
          <w:bCs/>
          <w:szCs w:val="24"/>
          <w:lang w:eastAsia="es-BO"/>
        </w:rPr>
        <w:t>“Disposición final de residuos sólidos (mitigación)”</w:t>
      </w:r>
    </w:p>
    <w:p w14:paraId="6AE50314" w14:textId="3E103ACC" w:rsidR="00C21425" w:rsidRPr="00F6693D" w:rsidRDefault="00C21425" w:rsidP="00771C01">
      <w:pPr>
        <w:pStyle w:val="Prrafodelista"/>
        <w:numPr>
          <w:ilvl w:val="0"/>
          <w:numId w:val="11"/>
        </w:numPr>
        <w:rPr>
          <w:lang w:eastAsia="es-BO"/>
        </w:rPr>
      </w:pPr>
      <w:r w:rsidRPr="00F6693D">
        <w:rPr>
          <w:lang w:eastAsia="es-BO"/>
        </w:rPr>
        <w:t xml:space="preserve">Clausurar al menos </w:t>
      </w:r>
      <w:r w:rsidR="002C62E2">
        <w:rPr>
          <w:highlight w:val="yellow"/>
          <w:lang w:eastAsia="es-BO"/>
        </w:rPr>
        <w:t>3</w:t>
      </w:r>
      <w:r w:rsidRPr="00F6693D">
        <w:rPr>
          <w:highlight w:val="yellow"/>
          <w:lang w:eastAsia="es-BO"/>
        </w:rPr>
        <w:t>0 botaderos</w:t>
      </w:r>
      <w:r w:rsidRPr="00F6693D">
        <w:rPr>
          <w:lang w:eastAsia="es-BO"/>
        </w:rPr>
        <w:t xml:space="preserve"> en capitales y ciudades intermedias.</w:t>
      </w:r>
    </w:p>
    <w:p w14:paraId="5345793F" w14:textId="39F61450" w:rsidR="00C21425" w:rsidRPr="00F6693D" w:rsidRDefault="00C21425" w:rsidP="00771C01">
      <w:pPr>
        <w:pStyle w:val="Prrafodelista"/>
        <w:numPr>
          <w:ilvl w:val="0"/>
          <w:numId w:val="11"/>
        </w:numPr>
        <w:rPr>
          <w:lang w:eastAsia="es-BO"/>
        </w:rPr>
      </w:pPr>
      <w:r w:rsidRPr="00F6693D">
        <w:rPr>
          <w:lang w:eastAsia="es-BO"/>
        </w:rPr>
        <w:t xml:space="preserve">Construir </w:t>
      </w:r>
      <w:r w:rsidRPr="00F6693D">
        <w:rPr>
          <w:highlight w:val="yellow"/>
          <w:lang w:eastAsia="es-BO"/>
        </w:rPr>
        <w:t>20 nuevos rellenos sanitarios</w:t>
      </w:r>
      <w:r w:rsidR="002C62E2">
        <w:rPr>
          <w:lang w:eastAsia="es-BO"/>
        </w:rPr>
        <w:t xml:space="preserve"> o complejos de tratamiento de residuos</w:t>
      </w:r>
      <w:r w:rsidRPr="00F6693D">
        <w:rPr>
          <w:lang w:eastAsia="es-BO"/>
        </w:rPr>
        <w:t>.</w:t>
      </w:r>
    </w:p>
    <w:p w14:paraId="282D8212" w14:textId="77777777" w:rsidR="00C21425" w:rsidRPr="00F6693D" w:rsidRDefault="00C21425" w:rsidP="00771C01">
      <w:pPr>
        <w:pStyle w:val="Prrafodelista"/>
        <w:numPr>
          <w:ilvl w:val="0"/>
          <w:numId w:val="11"/>
        </w:numPr>
        <w:rPr>
          <w:lang w:eastAsia="es-BO"/>
        </w:rPr>
      </w:pPr>
      <w:r w:rsidRPr="00F6693D">
        <w:rPr>
          <w:lang w:eastAsia="es-BO"/>
        </w:rPr>
        <w:t>Establecer módulos de captura y quema de biogás en sitios de alta generación.</w:t>
      </w:r>
    </w:p>
    <w:p w14:paraId="11D20315" w14:textId="77777777" w:rsidR="00C21425" w:rsidRPr="00F6693D" w:rsidRDefault="00C21425" w:rsidP="00771C01">
      <w:pPr>
        <w:pStyle w:val="Prrafodelista"/>
        <w:numPr>
          <w:ilvl w:val="0"/>
          <w:numId w:val="11"/>
        </w:numPr>
        <w:rPr>
          <w:lang w:eastAsia="es-BO"/>
        </w:rPr>
      </w:pPr>
      <w:r w:rsidRPr="00F6693D">
        <w:rPr>
          <w:lang w:eastAsia="es-BO"/>
        </w:rPr>
        <w:t>Integrar sistemas de monitoreo climático y ambiental en la operación de sitios de disposición final.</w:t>
      </w:r>
    </w:p>
    <w:p w14:paraId="4BC99E9C" w14:textId="4C1262B8" w:rsidR="00C21425" w:rsidRPr="00F6693D" w:rsidRDefault="00C21425" w:rsidP="00771C01">
      <w:pPr>
        <w:pStyle w:val="Prrafodelista"/>
        <w:numPr>
          <w:ilvl w:val="0"/>
          <w:numId w:val="11"/>
        </w:numPr>
        <w:rPr>
          <w:lang w:eastAsia="es-BO"/>
        </w:rPr>
      </w:pPr>
      <w:r w:rsidRPr="00F6693D">
        <w:rPr>
          <w:lang w:eastAsia="es-BO"/>
        </w:rPr>
        <w:t>Capacitar a técnicos municipales en gestión de sitios con enfoque climático.</w:t>
      </w:r>
    </w:p>
    <w:p w14:paraId="786201E2" w14:textId="77777777" w:rsidR="007344B9" w:rsidRPr="00F6693D" w:rsidRDefault="007344B9" w:rsidP="007344B9">
      <w:pPr>
        <w:pStyle w:val="Prrafodelista"/>
        <w:rPr>
          <w:lang w:eastAsia="es-BO"/>
        </w:rPr>
      </w:pPr>
    </w:p>
    <w:p w14:paraId="799CF8CB" w14:textId="1901DEC0" w:rsidR="00B84040" w:rsidRPr="00233AC8" w:rsidRDefault="003B2FE1" w:rsidP="00233AC8">
      <w:pPr>
        <w:pStyle w:val="Prrafodelista"/>
        <w:numPr>
          <w:ilvl w:val="2"/>
          <w:numId w:val="18"/>
        </w:numPr>
        <w:rPr>
          <w:b/>
          <w:bCs/>
          <w:lang w:eastAsia="es-BO"/>
        </w:rPr>
      </w:pPr>
      <w:r w:rsidRPr="00233AC8">
        <w:rPr>
          <w:b/>
          <w:bCs/>
          <w:lang w:eastAsia="es-BO"/>
        </w:rPr>
        <w:t>Articulaciones estratégicas y sinergias</w:t>
      </w:r>
      <w:r w:rsidR="00B84040" w:rsidRPr="00233AC8">
        <w:rPr>
          <w:b/>
          <w:bCs/>
          <w:lang w:eastAsia="es-BO"/>
        </w:rPr>
        <w:t>:</w:t>
      </w:r>
    </w:p>
    <w:p w14:paraId="55D9CDEE" w14:textId="77777777" w:rsidR="008E47D0" w:rsidRPr="008E47D0" w:rsidRDefault="008E47D0" w:rsidP="008E47D0">
      <w:pPr>
        <w:rPr>
          <w:lang w:eastAsia="es-BO"/>
        </w:rPr>
      </w:pPr>
      <w:r w:rsidRPr="008E47D0">
        <w:rPr>
          <w:lang w:eastAsia="es-BO"/>
        </w:rPr>
        <w:t xml:space="preserve">La mejora climática de la disposición final de residuos sólidos se vincula directamente con el </w:t>
      </w:r>
      <w:r w:rsidRPr="008E47D0">
        <w:rPr>
          <w:b/>
          <w:bCs/>
          <w:lang w:eastAsia="es-BO"/>
        </w:rPr>
        <w:t>ODS 3</w:t>
      </w:r>
      <w:r w:rsidRPr="008E47D0">
        <w:rPr>
          <w:lang w:eastAsia="es-BO"/>
        </w:rPr>
        <w:t xml:space="preserve">, al reducir los riesgos sanitarios asociados a la exposición a residuos no tratados, vectores de enfermedades y contaminación del entorno urbano. Se relaciona con el </w:t>
      </w:r>
      <w:r w:rsidRPr="008E47D0">
        <w:rPr>
          <w:b/>
          <w:bCs/>
          <w:lang w:eastAsia="es-BO"/>
        </w:rPr>
        <w:t>ODS 6</w:t>
      </w:r>
      <w:r w:rsidRPr="008E47D0">
        <w:rPr>
          <w:lang w:eastAsia="es-BO"/>
        </w:rPr>
        <w:t xml:space="preserve">, al contribuir a la prevención de la contaminación de fuentes de agua por lixiviados mal gestionados. Aporta al </w:t>
      </w:r>
      <w:r w:rsidRPr="008E47D0">
        <w:rPr>
          <w:b/>
          <w:bCs/>
          <w:lang w:eastAsia="es-BO"/>
        </w:rPr>
        <w:t>ODS 11</w:t>
      </w:r>
      <w:r w:rsidRPr="008E47D0">
        <w:rPr>
          <w:lang w:eastAsia="es-BO"/>
        </w:rPr>
        <w:t xml:space="preserve">, al promover ciudades más seguras y sostenibles mediante infraestructuras de saneamiento ambiental adecuadas. Finalmente, respalda el </w:t>
      </w:r>
      <w:r w:rsidRPr="008E47D0">
        <w:rPr>
          <w:b/>
          <w:bCs/>
          <w:lang w:eastAsia="es-BO"/>
        </w:rPr>
        <w:t>ODS 13</w:t>
      </w:r>
      <w:r w:rsidRPr="008E47D0">
        <w:rPr>
          <w:lang w:eastAsia="es-BO"/>
        </w:rPr>
        <w:t>, al reducir de manera significativa las emisiones de metano (CH₄) generadas por la descomposición anaerobia en botaderos abiertos, uno de los principales aportes del sector residuos al inventario nacional de gases de efecto invernadero.</w:t>
      </w:r>
    </w:p>
    <w:p w14:paraId="1FBE0E9C" w14:textId="65442481" w:rsidR="008E47D0" w:rsidRPr="00F6693D" w:rsidRDefault="008E47D0" w:rsidP="008E47D0">
      <w:pPr>
        <w:rPr>
          <w:lang w:eastAsia="es-BO"/>
        </w:rPr>
      </w:pPr>
      <w:r w:rsidRPr="008E47D0">
        <w:rPr>
          <w:lang w:eastAsia="es-BO"/>
        </w:rPr>
        <w:t>Esta meta se encuentra plenamente alineada con los compromisos del Acuerdo de París, al promover acciones concretas de mitigación con base en tecnologías costo-efectivas como la captura y quema de biogás. También se articula con el Convenio de Basilea, al avanzar en el manejo ambientalmente racional de los residuos. Desde el enfoque de reducción de riesgos, esta meta contribuye a los objetivos del Marco de Sendai, al prevenir desastres relacionados con la infraestructura deficiente y la exposición a eventos climáticos extremos (inundaciones, deslizamientos).</w:t>
      </w:r>
    </w:p>
    <w:p w14:paraId="3C8E7F69" w14:textId="77777777" w:rsidR="006F0AF5" w:rsidRPr="00F6693D" w:rsidRDefault="006F0AF5" w:rsidP="006F0AF5">
      <w:pPr>
        <w:rPr>
          <w:lang w:eastAsia="es-BO"/>
        </w:rPr>
      </w:pPr>
      <w:r w:rsidRPr="00F6693D">
        <w:rPr>
          <w:lang w:eastAsia="es-BO"/>
        </w:rPr>
        <w:t>En el plano nacional, esta meta se articula con:</w:t>
      </w:r>
    </w:p>
    <w:p w14:paraId="6A5D9949" w14:textId="77777777" w:rsidR="006F0AF5" w:rsidRPr="00F6693D" w:rsidRDefault="006F0AF5" w:rsidP="00771C01">
      <w:pPr>
        <w:pStyle w:val="Prrafodelista"/>
        <w:numPr>
          <w:ilvl w:val="0"/>
          <w:numId w:val="13"/>
        </w:numPr>
        <w:rPr>
          <w:lang w:eastAsia="es-BO"/>
        </w:rPr>
      </w:pPr>
      <w:r w:rsidRPr="00F6693D">
        <w:rPr>
          <w:lang w:eastAsia="es-BO"/>
        </w:rPr>
        <w:t>Plan de Desarrollo Económico y Social (PDES) 2021–2025, aprobado por Ley N.º 1407.</w:t>
      </w:r>
    </w:p>
    <w:p w14:paraId="0320883E" w14:textId="77777777" w:rsidR="006F0AF5" w:rsidRPr="00F6693D" w:rsidRDefault="006F0AF5" w:rsidP="00771C01">
      <w:pPr>
        <w:pStyle w:val="Prrafodelista"/>
        <w:numPr>
          <w:ilvl w:val="0"/>
          <w:numId w:val="13"/>
        </w:numPr>
        <w:rPr>
          <w:lang w:eastAsia="es-BO"/>
        </w:rPr>
      </w:pPr>
      <w:r w:rsidRPr="00F6693D">
        <w:rPr>
          <w:lang w:eastAsia="es-BO"/>
        </w:rPr>
        <w:t>Plan Sectorial de Desarrollo Integral para Vivir Bien – Saneamiento Básico (2021–2025), aprobado por RM N.º 436:</w:t>
      </w:r>
    </w:p>
    <w:p w14:paraId="02395BF5" w14:textId="55ED13E1" w:rsidR="006F0AF5" w:rsidRPr="00F6693D" w:rsidRDefault="006F0AF5" w:rsidP="00771C01">
      <w:pPr>
        <w:pStyle w:val="Prrafodelista"/>
        <w:numPr>
          <w:ilvl w:val="0"/>
          <w:numId w:val="13"/>
        </w:numPr>
        <w:rPr>
          <w:lang w:eastAsia="es-BO"/>
        </w:rPr>
      </w:pPr>
      <w:r w:rsidRPr="00F6693D">
        <w:rPr>
          <w:lang w:eastAsia="es-BO"/>
        </w:rPr>
        <w:t>Plan de Implementación de la Ley N.º 755 de Gestión Integral de Residuos, aprobado por RM N.º 489 (2016)</w:t>
      </w:r>
    </w:p>
    <w:p w14:paraId="474CC7DF" w14:textId="5676AE10" w:rsidR="006F0AF5" w:rsidRPr="00233AC8" w:rsidRDefault="007344B9" w:rsidP="00233AC8">
      <w:pPr>
        <w:pStyle w:val="Ttulo3"/>
        <w:numPr>
          <w:ilvl w:val="1"/>
          <w:numId w:val="18"/>
        </w:numPr>
        <w:rPr>
          <w:highlight w:val="yellow"/>
        </w:rPr>
      </w:pPr>
      <w:bookmarkStart w:id="5" w:name="_Toc203484728"/>
      <w:r w:rsidRPr="00233AC8">
        <w:rPr>
          <w:highlight w:val="yellow"/>
        </w:rPr>
        <w:t>Meta 3. Inclusión de grupos vulnerables en planes de resiliencia y continuidad operativa del sector residuos</w:t>
      </w:r>
    </w:p>
    <w:p w14:paraId="571D117A" w14:textId="77D16E60" w:rsidR="00F6693D" w:rsidRPr="00F6693D" w:rsidRDefault="00F6693D" w:rsidP="00F6693D">
      <w:pPr>
        <w:pStyle w:val="Ttulo2"/>
        <w:numPr>
          <w:ilvl w:val="0"/>
          <w:numId w:val="0"/>
        </w:numPr>
        <w:rPr>
          <w:rFonts w:eastAsiaTheme="minorHAnsi" w:cstheme="minorBidi"/>
          <w:b w:val="0"/>
          <w:szCs w:val="22"/>
          <w:lang w:eastAsia="es-BO"/>
        </w:rPr>
      </w:pPr>
      <w:bookmarkStart w:id="6" w:name="_Toc203484729"/>
      <w:bookmarkEnd w:id="5"/>
      <w:r w:rsidRPr="00F6693D">
        <w:rPr>
          <w:rFonts w:eastAsiaTheme="minorHAnsi" w:cstheme="minorBidi"/>
          <w:b w:val="0"/>
          <w:szCs w:val="22"/>
          <w:lang w:eastAsia="es-BO"/>
        </w:rPr>
        <w:t xml:space="preserve">Hasta 2035, el </w:t>
      </w:r>
      <w:r w:rsidR="00736E18">
        <w:rPr>
          <w:rFonts w:eastAsiaTheme="minorHAnsi" w:cstheme="minorBidi"/>
          <w:b w:val="0"/>
          <w:szCs w:val="22"/>
          <w:lang w:eastAsia="es-BO"/>
        </w:rPr>
        <w:t>5</w:t>
      </w:r>
      <w:r w:rsidRPr="00F6693D">
        <w:rPr>
          <w:rFonts w:eastAsiaTheme="minorHAnsi" w:cstheme="minorBidi"/>
          <w:b w:val="0"/>
          <w:szCs w:val="22"/>
          <w:lang w:eastAsia="es-BO"/>
        </w:rPr>
        <w:t>0% de los planes departamentales y metropolitanos de gestión integral de residuos sólidos incorporarán medidas específicas para fortalecer la resiliencia de grupos vulnerables, en particular recicladores de base, mujeres y comunidades expuestas a eventos climáticos, garantizando su participación, protección y sostenibilidad de medios de vida en el marco de una transición justa hacia sistemas de disposición final y valorización climáticamente adecuados.</w:t>
      </w:r>
    </w:p>
    <w:p w14:paraId="081BBB66" w14:textId="508D8113" w:rsidR="00F6693D" w:rsidRPr="00F6693D" w:rsidRDefault="00F6693D" w:rsidP="00F6693D">
      <w:pPr>
        <w:rPr>
          <w:b/>
          <w:bCs/>
          <w:lang w:eastAsia="es-BO"/>
        </w:rPr>
      </w:pPr>
      <w:r w:rsidRPr="00F6693D">
        <w:rPr>
          <w:b/>
          <w:bCs/>
          <w:lang w:eastAsia="es-BO"/>
        </w:rPr>
        <w:t>2.3.1.</w:t>
      </w:r>
      <w:r w:rsidRPr="00F6693D">
        <w:rPr>
          <w:b/>
          <w:bCs/>
          <w:lang w:eastAsia="es-BO"/>
        </w:rPr>
        <w:tab/>
        <w:t>Descripción:</w:t>
      </w:r>
    </w:p>
    <w:p w14:paraId="74E7872F" w14:textId="77777777" w:rsidR="00F6693D" w:rsidRPr="00F6693D" w:rsidRDefault="00F6693D" w:rsidP="00F6693D">
      <w:pPr>
        <w:rPr>
          <w:lang w:eastAsia="es-BO"/>
        </w:rPr>
      </w:pPr>
      <w:r w:rsidRPr="00393283">
        <w:rPr>
          <w:highlight w:val="yellow"/>
          <w:lang w:eastAsia="es-BO"/>
        </w:rPr>
        <w:t>El proceso de cierre de botaderos a cielo abierto, la construcción de rellenos sanitarios y la expansión de la valorización de residuos, tal como establece la meta principal del sector, implica transformaciones estructurales que afectan directa e indirectamente a poblaciones que históricamente han sostenido el sistema informal de residuos, en especial recicladores de base, mujeres y comunidades periurbanas.</w:t>
      </w:r>
    </w:p>
    <w:p w14:paraId="759FE80F" w14:textId="5BDA3A86" w:rsidR="00F6693D" w:rsidRPr="00F6693D" w:rsidRDefault="00F6693D" w:rsidP="00F6693D">
      <w:pPr>
        <w:rPr>
          <w:lang w:eastAsia="es-BO"/>
        </w:rPr>
      </w:pPr>
      <w:r w:rsidRPr="00F6693D">
        <w:rPr>
          <w:lang w:eastAsia="es-BO"/>
        </w:rPr>
        <w:t xml:space="preserve">Simultáneamente, el cambio climático incrementa la frecuencia de eventos extremos (lluvias intensas, sequías, incendios) que interrumpen el servicio y generan afectaciones operativas. Por ello, esta meta busca asegurar que los procesos de planificación, inversión </w:t>
      </w:r>
      <w:r w:rsidRPr="00F6693D">
        <w:rPr>
          <w:lang w:eastAsia="es-BO"/>
        </w:rPr>
        <w:lastRenderedPageBreak/>
        <w:t>y operación del sector residuos incluyan mecanismos de protección climática y social para estos grupos, garantizando que la acción climática sea equitativa, participativa y resiliente.</w:t>
      </w:r>
    </w:p>
    <w:p w14:paraId="354ED2DD" w14:textId="51A3A917" w:rsidR="00F6693D" w:rsidRPr="00F6693D" w:rsidRDefault="008E29AC" w:rsidP="00F6693D">
      <w:pPr>
        <w:rPr>
          <w:lang w:eastAsia="es-BO"/>
        </w:rPr>
      </w:pPr>
      <w:r w:rsidRPr="00F6693D">
        <w:rPr>
          <w:b/>
          <w:bCs/>
          <w:lang w:eastAsia="es-BO"/>
        </w:rPr>
        <w:t>2.3.</w:t>
      </w:r>
      <w:r>
        <w:rPr>
          <w:b/>
          <w:bCs/>
          <w:lang w:eastAsia="es-BO"/>
        </w:rPr>
        <w:t>2</w:t>
      </w:r>
      <w:r w:rsidRPr="00F6693D">
        <w:rPr>
          <w:b/>
          <w:bCs/>
          <w:lang w:eastAsia="es-BO"/>
        </w:rPr>
        <w:t>.</w:t>
      </w:r>
      <w:r w:rsidRPr="008E29AC">
        <w:rPr>
          <w:rFonts w:eastAsia="Times New Roman" w:cs="Times New Roman"/>
          <w:b/>
          <w:bCs/>
          <w:szCs w:val="24"/>
          <w:lang w:eastAsia="es-BO"/>
        </w:rPr>
        <w:t xml:space="preserve"> </w:t>
      </w:r>
      <w:r w:rsidRPr="00166888">
        <w:rPr>
          <w:rFonts w:eastAsia="Times New Roman" w:cs="Times New Roman"/>
          <w:b/>
          <w:bCs/>
          <w:szCs w:val="24"/>
          <w:lang w:eastAsia="es-BO"/>
        </w:rPr>
        <w:t xml:space="preserve">Indicadores y metodología meta </w:t>
      </w:r>
      <w:r>
        <w:rPr>
          <w:rFonts w:eastAsia="Times New Roman" w:cs="Times New Roman"/>
          <w:b/>
          <w:bCs/>
          <w:szCs w:val="24"/>
          <w:lang w:eastAsia="es-BO"/>
        </w:rPr>
        <w:t>3</w:t>
      </w:r>
    </w:p>
    <w:tbl>
      <w:tblPr>
        <w:tblStyle w:val="Tablaconcuadrcula"/>
        <w:tblW w:w="8505" w:type="dxa"/>
        <w:tblLook w:val="04A0" w:firstRow="1" w:lastRow="0" w:firstColumn="1" w:lastColumn="0" w:noHBand="0" w:noVBand="1"/>
      </w:tblPr>
      <w:tblGrid>
        <w:gridCol w:w="2692"/>
        <w:gridCol w:w="5813"/>
      </w:tblGrid>
      <w:tr w:rsidR="00034683" w14:paraId="243653CF" w14:textId="77777777" w:rsidTr="008E29AC">
        <w:trPr>
          <w:trHeight w:val="297"/>
        </w:trPr>
        <w:tc>
          <w:tcPr>
            <w:tcW w:w="2692" w:type="dxa"/>
            <w:hideMark/>
          </w:tcPr>
          <w:p w14:paraId="7DF0260B" w14:textId="77777777" w:rsidR="00034683" w:rsidRDefault="00034683">
            <w:pPr>
              <w:jc w:val="center"/>
              <w:rPr>
                <w:b/>
                <w:bCs/>
              </w:rPr>
            </w:pPr>
            <w:r>
              <w:rPr>
                <w:b/>
                <w:bCs/>
              </w:rPr>
              <w:t>Elemento</w:t>
            </w:r>
          </w:p>
        </w:tc>
        <w:tc>
          <w:tcPr>
            <w:tcW w:w="5813" w:type="dxa"/>
            <w:hideMark/>
          </w:tcPr>
          <w:p w14:paraId="00F077F3" w14:textId="77777777" w:rsidR="00034683" w:rsidRDefault="00034683">
            <w:pPr>
              <w:jc w:val="center"/>
              <w:rPr>
                <w:b/>
                <w:bCs/>
              </w:rPr>
            </w:pPr>
            <w:r>
              <w:rPr>
                <w:b/>
                <w:bCs/>
              </w:rPr>
              <w:t>Descripción</w:t>
            </w:r>
          </w:p>
        </w:tc>
      </w:tr>
      <w:tr w:rsidR="00034683" w14:paraId="5BB34E2C" w14:textId="77777777" w:rsidTr="008E29AC">
        <w:trPr>
          <w:trHeight w:val="619"/>
        </w:trPr>
        <w:tc>
          <w:tcPr>
            <w:tcW w:w="2692" w:type="dxa"/>
            <w:hideMark/>
          </w:tcPr>
          <w:p w14:paraId="5339FE52" w14:textId="77777777" w:rsidR="00034683" w:rsidRDefault="00034683">
            <w:pPr>
              <w:jc w:val="left"/>
            </w:pPr>
            <w:r>
              <w:t>Indicador principal</w:t>
            </w:r>
          </w:p>
        </w:tc>
        <w:tc>
          <w:tcPr>
            <w:tcW w:w="5813" w:type="dxa"/>
            <w:hideMark/>
          </w:tcPr>
          <w:p w14:paraId="72DE7820" w14:textId="77777777" w:rsidR="00034683" w:rsidRDefault="00034683">
            <w:r>
              <w:t>Porcentaje de planes departamentales y metropolitanos de residuos que integran medidas específicas de resiliencia para grupos vulnerables</w:t>
            </w:r>
          </w:p>
        </w:tc>
      </w:tr>
      <w:tr w:rsidR="00034683" w14:paraId="21CE17ED" w14:textId="77777777" w:rsidTr="008E29AC">
        <w:trPr>
          <w:trHeight w:val="297"/>
        </w:trPr>
        <w:tc>
          <w:tcPr>
            <w:tcW w:w="2692" w:type="dxa"/>
            <w:hideMark/>
          </w:tcPr>
          <w:p w14:paraId="08CAD337" w14:textId="77777777" w:rsidR="00034683" w:rsidRDefault="00034683">
            <w:r>
              <w:t>Unidad de medida</w:t>
            </w:r>
          </w:p>
        </w:tc>
        <w:tc>
          <w:tcPr>
            <w:tcW w:w="5813" w:type="dxa"/>
            <w:hideMark/>
          </w:tcPr>
          <w:p w14:paraId="6815A7AA" w14:textId="77777777" w:rsidR="00034683" w:rsidRDefault="00034683">
            <w:r>
              <w:t>%</w:t>
            </w:r>
          </w:p>
        </w:tc>
      </w:tr>
      <w:tr w:rsidR="00034683" w14:paraId="4CF7A133" w14:textId="77777777" w:rsidTr="008E29AC">
        <w:trPr>
          <w:trHeight w:val="297"/>
        </w:trPr>
        <w:tc>
          <w:tcPr>
            <w:tcW w:w="2692" w:type="dxa"/>
            <w:hideMark/>
          </w:tcPr>
          <w:p w14:paraId="7A78998A" w14:textId="77777777" w:rsidR="00034683" w:rsidRDefault="00034683">
            <w:r>
              <w:t>Año base</w:t>
            </w:r>
          </w:p>
        </w:tc>
        <w:tc>
          <w:tcPr>
            <w:tcW w:w="5813" w:type="dxa"/>
            <w:hideMark/>
          </w:tcPr>
          <w:p w14:paraId="7FA7370B" w14:textId="77777777" w:rsidR="00034683" w:rsidRDefault="00034683">
            <w:r>
              <w:t>2024</w:t>
            </w:r>
          </w:p>
        </w:tc>
      </w:tr>
      <w:tr w:rsidR="00034683" w14:paraId="7C42A37C" w14:textId="77777777" w:rsidTr="008E29AC">
        <w:trPr>
          <w:trHeight w:val="297"/>
        </w:trPr>
        <w:tc>
          <w:tcPr>
            <w:tcW w:w="2692" w:type="dxa"/>
            <w:hideMark/>
          </w:tcPr>
          <w:p w14:paraId="52EFF346" w14:textId="77777777" w:rsidR="00034683" w:rsidRDefault="00034683">
            <w:r>
              <w:t>Valor inicial</w:t>
            </w:r>
          </w:p>
        </w:tc>
        <w:tc>
          <w:tcPr>
            <w:tcW w:w="5813" w:type="dxa"/>
            <w:hideMark/>
          </w:tcPr>
          <w:p w14:paraId="5A54A4C9" w14:textId="77777777" w:rsidR="00034683" w:rsidRDefault="00034683">
            <w:r w:rsidRPr="002E12A5">
              <w:rPr>
                <w:highlight w:val="yellow"/>
              </w:rPr>
              <w:t>0%</w:t>
            </w:r>
          </w:p>
        </w:tc>
      </w:tr>
      <w:tr w:rsidR="00034683" w14:paraId="0EE07923" w14:textId="77777777" w:rsidTr="008E29AC">
        <w:trPr>
          <w:trHeight w:val="458"/>
        </w:trPr>
        <w:tc>
          <w:tcPr>
            <w:tcW w:w="2692" w:type="dxa"/>
            <w:hideMark/>
          </w:tcPr>
          <w:p w14:paraId="2386BE8A" w14:textId="77777777" w:rsidR="00034683" w:rsidRDefault="00034683">
            <w:r>
              <w:t>Valor proyectado 2035</w:t>
            </w:r>
          </w:p>
        </w:tc>
        <w:tc>
          <w:tcPr>
            <w:tcW w:w="5813" w:type="dxa"/>
            <w:hideMark/>
          </w:tcPr>
          <w:p w14:paraId="03487C98" w14:textId="640CF86C" w:rsidR="00034683" w:rsidRDefault="008E29AC">
            <w:r>
              <w:t>5</w:t>
            </w:r>
            <w:r w:rsidR="00034683">
              <w:t>0%</w:t>
            </w:r>
          </w:p>
        </w:tc>
      </w:tr>
      <w:tr w:rsidR="00034683" w14:paraId="14FEB0AD" w14:textId="77777777" w:rsidTr="008E29AC">
        <w:trPr>
          <w:trHeight w:val="458"/>
        </w:trPr>
        <w:tc>
          <w:tcPr>
            <w:tcW w:w="2692" w:type="dxa"/>
            <w:hideMark/>
          </w:tcPr>
          <w:p w14:paraId="5493E3BF" w14:textId="77777777" w:rsidR="00034683" w:rsidRDefault="00034683">
            <w:r>
              <w:t>Condicionalidad (%)</w:t>
            </w:r>
          </w:p>
        </w:tc>
        <w:tc>
          <w:tcPr>
            <w:tcW w:w="5813" w:type="dxa"/>
            <w:hideMark/>
          </w:tcPr>
          <w:p w14:paraId="4894F16D" w14:textId="77777777" w:rsidR="00034683" w:rsidRDefault="00034683">
            <w:r>
              <w:t>60% condicionado (requiere asistencia técnica, financiamiento y ajuste normativo)</w:t>
            </w:r>
          </w:p>
        </w:tc>
      </w:tr>
      <w:tr w:rsidR="00034683" w14:paraId="4CE139F4" w14:textId="77777777" w:rsidTr="008E29AC">
        <w:trPr>
          <w:trHeight w:val="779"/>
        </w:trPr>
        <w:tc>
          <w:tcPr>
            <w:tcW w:w="2692" w:type="dxa"/>
            <w:hideMark/>
          </w:tcPr>
          <w:p w14:paraId="09CC9AAB" w14:textId="77777777" w:rsidR="00034683" w:rsidRDefault="00034683">
            <w:r>
              <w:t>Descripción metodológica</w:t>
            </w:r>
          </w:p>
        </w:tc>
        <w:tc>
          <w:tcPr>
            <w:tcW w:w="5813" w:type="dxa"/>
            <w:hideMark/>
          </w:tcPr>
          <w:p w14:paraId="09563FFB" w14:textId="60A33C92" w:rsidR="00034683" w:rsidRDefault="00034683">
            <w:r>
              <w:t>Evaluación de contenido en planes de GIRS departamentales; verificación de inclusión de medidas diferenciadas; revisión de protocolos de contingencia y sostenibilidad laboral en contextos climáticos.</w:t>
            </w:r>
          </w:p>
        </w:tc>
      </w:tr>
    </w:tbl>
    <w:p w14:paraId="7CFBA061" w14:textId="1B6792A4" w:rsidR="00034683" w:rsidRDefault="008E29AC" w:rsidP="00233AC8">
      <w:r w:rsidRPr="00F6693D">
        <w:rPr>
          <w:b/>
          <w:bCs/>
          <w:lang w:eastAsia="es-BO"/>
        </w:rPr>
        <w:t>2.3.</w:t>
      </w:r>
      <w:r>
        <w:rPr>
          <w:b/>
          <w:bCs/>
          <w:lang w:eastAsia="es-BO"/>
        </w:rPr>
        <w:t>3</w:t>
      </w:r>
      <w:r w:rsidRPr="00F6693D">
        <w:rPr>
          <w:b/>
          <w:bCs/>
          <w:lang w:eastAsia="es-BO"/>
        </w:rPr>
        <w:t>.</w:t>
      </w:r>
      <w:r w:rsidR="00233AC8">
        <w:rPr>
          <w:b/>
          <w:bCs/>
          <w:lang w:eastAsia="es-BO"/>
        </w:rPr>
        <w:tab/>
      </w:r>
      <w:r w:rsidR="00034683">
        <w:rPr>
          <w:rStyle w:val="Textoennegrita"/>
        </w:rPr>
        <w:t>Principales acciones:</w:t>
      </w:r>
    </w:p>
    <w:p w14:paraId="5C449702" w14:textId="77777777" w:rsidR="00034683" w:rsidRDefault="00034683" w:rsidP="00771C01">
      <w:pPr>
        <w:pStyle w:val="NormalWeb"/>
        <w:numPr>
          <w:ilvl w:val="0"/>
          <w:numId w:val="16"/>
        </w:numPr>
      </w:pPr>
      <w:r>
        <w:t>Incorporación de cláusulas de protección climática y socioeconómica para recicladores y comunidades vulnerables en planes subnacionales.</w:t>
      </w:r>
    </w:p>
    <w:p w14:paraId="4E62059C" w14:textId="77777777" w:rsidR="00034683" w:rsidRDefault="00034683" w:rsidP="00771C01">
      <w:pPr>
        <w:pStyle w:val="NormalWeb"/>
        <w:numPr>
          <w:ilvl w:val="0"/>
          <w:numId w:val="16"/>
        </w:numPr>
      </w:pPr>
      <w:r>
        <w:t>Diseño participativo de protocolos de contingencia con enfoque de género, interculturalidad y derechos humanos.</w:t>
      </w:r>
    </w:p>
    <w:p w14:paraId="217E225E" w14:textId="77777777" w:rsidR="00034683" w:rsidRDefault="00034683" w:rsidP="00771C01">
      <w:pPr>
        <w:pStyle w:val="NormalWeb"/>
        <w:numPr>
          <w:ilvl w:val="0"/>
          <w:numId w:val="16"/>
        </w:numPr>
      </w:pPr>
      <w:r>
        <w:t>Capacitación específica en gestión de riesgos climáticos para recicladores de base y funcionarios municipales.</w:t>
      </w:r>
    </w:p>
    <w:p w14:paraId="7EF92AD0" w14:textId="77777777" w:rsidR="00034683" w:rsidRDefault="00034683" w:rsidP="00771C01">
      <w:pPr>
        <w:pStyle w:val="NormalWeb"/>
        <w:numPr>
          <w:ilvl w:val="0"/>
          <w:numId w:val="16"/>
        </w:numPr>
      </w:pPr>
      <w:r>
        <w:t>Establecimiento de mecanismos de mantenimiento de ingresos o reinserción laboral en procesos de cierre de botaderos.</w:t>
      </w:r>
    </w:p>
    <w:p w14:paraId="37EC7662" w14:textId="77777777" w:rsidR="00034683" w:rsidRDefault="00034683" w:rsidP="00771C01">
      <w:pPr>
        <w:pStyle w:val="NormalWeb"/>
        <w:numPr>
          <w:ilvl w:val="0"/>
          <w:numId w:val="16"/>
        </w:numPr>
      </w:pPr>
      <w:r>
        <w:t xml:space="preserve">Coordinación con los programas </w:t>
      </w:r>
      <w:r>
        <w:rPr>
          <w:rStyle w:val="Textoennegrita"/>
        </w:rPr>
        <w:t>Basura Cero</w:t>
      </w:r>
      <w:r>
        <w:t xml:space="preserve">, </w:t>
      </w:r>
      <w:r>
        <w:rPr>
          <w:rStyle w:val="Textoennegrita"/>
        </w:rPr>
        <w:t>ProUrbano</w:t>
      </w:r>
      <w:r>
        <w:t xml:space="preserve">, </w:t>
      </w:r>
      <w:r>
        <w:rPr>
          <w:rStyle w:val="Textoennegrita"/>
        </w:rPr>
        <w:t>PEAT</w:t>
      </w:r>
      <w:r>
        <w:t xml:space="preserve">, y con la implementación del régimen </w:t>
      </w:r>
      <w:r>
        <w:rPr>
          <w:rStyle w:val="Textoennegrita"/>
        </w:rPr>
        <w:t>REP</w:t>
      </w:r>
      <w:r>
        <w:t xml:space="preserve"> para garantizar alternativas sostenibles y formales para recicladores y sectores expuestos.</w:t>
      </w:r>
    </w:p>
    <w:p w14:paraId="05865B28" w14:textId="6F7161FC" w:rsidR="00034683" w:rsidRDefault="00034683" w:rsidP="00034683"/>
    <w:p w14:paraId="0E63C0EF" w14:textId="77777777" w:rsidR="00034683" w:rsidRDefault="00034683" w:rsidP="00034683">
      <w:pPr>
        <w:pStyle w:val="Ttulo3"/>
      </w:pPr>
      <w:r>
        <w:rPr>
          <w:rStyle w:val="Textoennegrita"/>
          <w:b/>
          <w:bCs/>
        </w:rPr>
        <w:t>Articulaciones estratégicas y sinergias</w:t>
      </w:r>
    </w:p>
    <w:p w14:paraId="23ED5B88" w14:textId="77777777" w:rsidR="00034683" w:rsidRDefault="00034683" w:rsidP="00034683">
      <w:pPr>
        <w:pStyle w:val="NormalWeb"/>
      </w:pPr>
      <w:r>
        <w:t xml:space="preserve">Esta meta refuerza el enfoque de </w:t>
      </w:r>
      <w:r>
        <w:rPr>
          <w:rStyle w:val="Textoennegrita"/>
        </w:rPr>
        <w:t>justicia ambiental y transición justa</w:t>
      </w:r>
      <w:r>
        <w:t xml:space="preserve"> establecido en la meta principal del subsector residuos, asegurando que la transformación estructural hacia sistemas climáticamente adecuados no genere exclusión social. Contribuye al </w:t>
      </w:r>
      <w:r>
        <w:rPr>
          <w:rStyle w:val="Textoennegrita"/>
        </w:rPr>
        <w:t>ODS 1</w:t>
      </w:r>
      <w:r>
        <w:t xml:space="preserve"> (reducción de la pobreza), al </w:t>
      </w:r>
      <w:r>
        <w:rPr>
          <w:rStyle w:val="Textoennegrita"/>
        </w:rPr>
        <w:t>ODS 5</w:t>
      </w:r>
      <w:r>
        <w:t xml:space="preserve"> (igualdad de género), al </w:t>
      </w:r>
      <w:r>
        <w:rPr>
          <w:rStyle w:val="Textoennegrita"/>
        </w:rPr>
        <w:t>ODS 11</w:t>
      </w:r>
      <w:r>
        <w:t xml:space="preserve"> (ciudades resilientes) y al </w:t>
      </w:r>
      <w:r>
        <w:rPr>
          <w:rStyle w:val="Textoennegrita"/>
        </w:rPr>
        <w:t>ODS 13</w:t>
      </w:r>
      <w:r>
        <w:t xml:space="preserve"> (acción por el clima).</w:t>
      </w:r>
    </w:p>
    <w:p w14:paraId="63DD278D" w14:textId="77777777" w:rsidR="00034683" w:rsidRDefault="00034683" w:rsidP="00034683">
      <w:pPr>
        <w:pStyle w:val="NormalWeb"/>
      </w:pPr>
      <w:r>
        <w:lastRenderedPageBreak/>
        <w:t xml:space="preserve">Se articula directamente con los compromisos del </w:t>
      </w:r>
      <w:r>
        <w:rPr>
          <w:rStyle w:val="Textoennegrita"/>
        </w:rPr>
        <w:t>Acuerdo de París</w:t>
      </w:r>
      <w:r>
        <w:t xml:space="preserve"> sobre adaptación y derechos humanos, así como con el </w:t>
      </w:r>
      <w:r>
        <w:rPr>
          <w:rStyle w:val="Textoennegrita"/>
        </w:rPr>
        <w:t>Marco de Sendai</w:t>
      </w:r>
      <w:r>
        <w:t>, al reducir vulnerabilidades sociales frente a desastres relacionados con residuos. A nivel nacional, se vincula con:</w:t>
      </w:r>
    </w:p>
    <w:p w14:paraId="36434070" w14:textId="77777777" w:rsidR="00034683" w:rsidRDefault="00034683" w:rsidP="00771C01">
      <w:pPr>
        <w:pStyle w:val="NormalWeb"/>
        <w:numPr>
          <w:ilvl w:val="0"/>
          <w:numId w:val="17"/>
        </w:numPr>
      </w:pPr>
      <w:r>
        <w:t xml:space="preserve">El </w:t>
      </w:r>
      <w:r>
        <w:rPr>
          <w:rStyle w:val="Textoennegrita"/>
        </w:rPr>
        <w:t>Plan Nacional de Adaptación (PNA)</w:t>
      </w:r>
      <w:r>
        <w:t>,</w:t>
      </w:r>
    </w:p>
    <w:p w14:paraId="4D0BD7F6" w14:textId="77777777" w:rsidR="00034683" w:rsidRDefault="00034683" w:rsidP="00771C01">
      <w:pPr>
        <w:pStyle w:val="NormalWeb"/>
        <w:numPr>
          <w:ilvl w:val="0"/>
          <w:numId w:val="17"/>
        </w:numPr>
      </w:pPr>
      <w:r>
        <w:t xml:space="preserve">El </w:t>
      </w:r>
      <w:r>
        <w:rPr>
          <w:rStyle w:val="Textoennegrita"/>
        </w:rPr>
        <w:t>Plan Plurinacional de Igualdad de Género</w:t>
      </w:r>
      <w:r>
        <w:t>,</w:t>
      </w:r>
    </w:p>
    <w:p w14:paraId="5A68D8F3" w14:textId="77777777" w:rsidR="00034683" w:rsidRDefault="00034683" w:rsidP="00771C01">
      <w:pPr>
        <w:pStyle w:val="NormalWeb"/>
        <w:numPr>
          <w:ilvl w:val="0"/>
          <w:numId w:val="17"/>
        </w:numPr>
      </w:pPr>
      <w:r>
        <w:t xml:space="preserve">La </w:t>
      </w:r>
      <w:r>
        <w:rPr>
          <w:rStyle w:val="Textoennegrita"/>
        </w:rPr>
        <w:t>Estrategia Nacional de Economía Circular</w:t>
      </w:r>
      <w:r>
        <w:t>, y</w:t>
      </w:r>
    </w:p>
    <w:p w14:paraId="0357C14A" w14:textId="77777777" w:rsidR="00034683" w:rsidRDefault="00034683" w:rsidP="00771C01">
      <w:pPr>
        <w:pStyle w:val="NormalWeb"/>
        <w:numPr>
          <w:ilvl w:val="0"/>
          <w:numId w:val="17"/>
        </w:numPr>
      </w:pPr>
      <w:r>
        <w:t xml:space="preserve">Los enfoques de </w:t>
      </w:r>
      <w:r>
        <w:rPr>
          <w:rStyle w:val="Textoennegrita"/>
        </w:rPr>
        <w:t>transversalización de género y equidad</w:t>
      </w:r>
      <w:r>
        <w:t xml:space="preserve"> establecidos en la NDC 3.0.</w:t>
      </w:r>
    </w:p>
    <w:p w14:paraId="41BDD601" w14:textId="2AC7B656" w:rsidR="00034683" w:rsidRDefault="00034683" w:rsidP="00F6693D">
      <w:pPr>
        <w:rPr>
          <w:lang w:eastAsia="es-BO"/>
        </w:rPr>
      </w:pPr>
    </w:p>
    <w:p w14:paraId="4AAAD024" w14:textId="15FFD92F" w:rsidR="00034683" w:rsidRDefault="00034683" w:rsidP="00F6693D">
      <w:pPr>
        <w:rPr>
          <w:lang w:eastAsia="es-BO"/>
        </w:rPr>
      </w:pPr>
    </w:p>
    <w:p w14:paraId="133BAD54" w14:textId="73752D67" w:rsidR="00034683" w:rsidRDefault="00034683" w:rsidP="00F6693D">
      <w:pPr>
        <w:rPr>
          <w:lang w:eastAsia="es-BO"/>
        </w:rPr>
      </w:pPr>
    </w:p>
    <w:p w14:paraId="715BC9F7" w14:textId="69600B2E" w:rsidR="00034683" w:rsidRDefault="00034683" w:rsidP="00F6693D">
      <w:pPr>
        <w:rPr>
          <w:lang w:eastAsia="es-BO"/>
        </w:rPr>
      </w:pPr>
    </w:p>
    <w:p w14:paraId="2499C6B1" w14:textId="3A684C1E" w:rsidR="00034683" w:rsidRDefault="00034683" w:rsidP="00F6693D">
      <w:pPr>
        <w:rPr>
          <w:lang w:eastAsia="es-BO"/>
        </w:rPr>
      </w:pPr>
    </w:p>
    <w:p w14:paraId="4E3CF03E" w14:textId="12D95018" w:rsidR="00034683" w:rsidRDefault="00034683" w:rsidP="00F6693D">
      <w:pPr>
        <w:rPr>
          <w:lang w:eastAsia="es-BO"/>
        </w:rPr>
      </w:pPr>
    </w:p>
    <w:p w14:paraId="35E26CD4" w14:textId="4A75DF20" w:rsidR="00034683" w:rsidRDefault="00034683" w:rsidP="00F6693D">
      <w:pPr>
        <w:rPr>
          <w:lang w:eastAsia="es-BO"/>
        </w:rPr>
      </w:pPr>
    </w:p>
    <w:p w14:paraId="26FDADDC" w14:textId="6D03A597" w:rsidR="00034683" w:rsidRDefault="00034683" w:rsidP="00F6693D">
      <w:pPr>
        <w:rPr>
          <w:lang w:eastAsia="es-BO"/>
        </w:rPr>
      </w:pPr>
    </w:p>
    <w:p w14:paraId="3FF4756F" w14:textId="204A0C9A" w:rsidR="00034683" w:rsidRDefault="00034683" w:rsidP="00F6693D">
      <w:pPr>
        <w:rPr>
          <w:lang w:eastAsia="es-BO"/>
        </w:rPr>
      </w:pPr>
    </w:p>
    <w:p w14:paraId="53D22B4A" w14:textId="40D38A54" w:rsidR="00034683" w:rsidRDefault="00034683" w:rsidP="00F6693D">
      <w:pPr>
        <w:rPr>
          <w:lang w:eastAsia="es-BO"/>
        </w:rPr>
      </w:pPr>
    </w:p>
    <w:p w14:paraId="0E6E8732" w14:textId="41453200" w:rsidR="00034683" w:rsidRDefault="00034683" w:rsidP="00F6693D">
      <w:pPr>
        <w:rPr>
          <w:lang w:eastAsia="es-BO"/>
        </w:rPr>
      </w:pPr>
    </w:p>
    <w:p w14:paraId="169C039E" w14:textId="7A438129" w:rsidR="00034683" w:rsidRDefault="00034683" w:rsidP="00F6693D">
      <w:pPr>
        <w:rPr>
          <w:lang w:eastAsia="es-BO"/>
        </w:rPr>
      </w:pPr>
    </w:p>
    <w:p w14:paraId="0ABF0E04" w14:textId="5E895657" w:rsidR="00034683" w:rsidRDefault="00034683" w:rsidP="00F6693D">
      <w:pPr>
        <w:rPr>
          <w:lang w:eastAsia="es-BO"/>
        </w:rPr>
      </w:pPr>
    </w:p>
    <w:p w14:paraId="55C22BDC" w14:textId="1519721D" w:rsidR="00034683" w:rsidRDefault="00034683" w:rsidP="00F6693D">
      <w:pPr>
        <w:rPr>
          <w:lang w:eastAsia="es-BO"/>
        </w:rPr>
      </w:pPr>
    </w:p>
    <w:p w14:paraId="0C3B7830" w14:textId="607E7F02" w:rsidR="00034683" w:rsidRDefault="00034683" w:rsidP="00F6693D">
      <w:pPr>
        <w:rPr>
          <w:lang w:eastAsia="es-BO"/>
        </w:rPr>
      </w:pPr>
    </w:p>
    <w:p w14:paraId="6FDB6B0E" w14:textId="4FA6F78A" w:rsidR="00034683" w:rsidRDefault="00034683" w:rsidP="00F6693D">
      <w:pPr>
        <w:rPr>
          <w:lang w:eastAsia="es-BO"/>
        </w:rPr>
      </w:pPr>
    </w:p>
    <w:p w14:paraId="537341EC" w14:textId="07B4DDF1" w:rsidR="00034683" w:rsidRDefault="00034683" w:rsidP="00F6693D">
      <w:pPr>
        <w:rPr>
          <w:lang w:eastAsia="es-BO"/>
        </w:rPr>
      </w:pPr>
    </w:p>
    <w:p w14:paraId="40B32CE9" w14:textId="34CEAFA0" w:rsidR="00034683" w:rsidRDefault="00034683" w:rsidP="00F6693D">
      <w:pPr>
        <w:rPr>
          <w:lang w:eastAsia="es-BO"/>
        </w:rPr>
      </w:pPr>
    </w:p>
    <w:p w14:paraId="783463D0" w14:textId="0CE628D6" w:rsidR="00034683" w:rsidRDefault="00034683" w:rsidP="00F6693D">
      <w:pPr>
        <w:rPr>
          <w:lang w:eastAsia="es-BO"/>
        </w:rPr>
      </w:pPr>
    </w:p>
    <w:p w14:paraId="74B96066" w14:textId="06B40DE9" w:rsidR="00034683" w:rsidRDefault="00034683" w:rsidP="00F6693D">
      <w:pPr>
        <w:rPr>
          <w:lang w:eastAsia="es-BO"/>
        </w:rPr>
      </w:pPr>
    </w:p>
    <w:p w14:paraId="44866A01" w14:textId="739D7157" w:rsidR="00034683" w:rsidRDefault="00034683" w:rsidP="00F6693D">
      <w:pPr>
        <w:rPr>
          <w:lang w:eastAsia="es-BO"/>
        </w:rPr>
      </w:pPr>
    </w:p>
    <w:p w14:paraId="7A1213A8" w14:textId="22891A61" w:rsidR="00034683" w:rsidRDefault="00034683" w:rsidP="00F6693D">
      <w:pPr>
        <w:rPr>
          <w:lang w:eastAsia="es-BO"/>
        </w:rPr>
      </w:pPr>
    </w:p>
    <w:p w14:paraId="00C5C8F1" w14:textId="3EBA86E3" w:rsidR="00034683" w:rsidRDefault="00034683" w:rsidP="00F6693D">
      <w:pPr>
        <w:rPr>
          <w:lang w:eastAsia="es-BO"/>
        </w:rPr>
      </w:pPr>
    </w:p>
    <w:p w14:paraId="14D59B4B" w14:textId="61B34F9B" w:rsidR="00034683" w:rsidRDefault="00034683" w:rsidP="00F6693D">
      <w:pPr>
        <w:rPr>
          <w:lang w:eastAsia="es-BO"/>
        </w:rPr>
      </w:pPr>
    </w:p>
    <w:p w14:paraId="3701D276" w14:textId="5BF3DAF2" w:rsidR="00034683" w:rsidRDefault="00034683" w:rsidP="00F6693D">
      <w:pPr>
        <w:rPr>
          <w:lang w:eastAsia="es-BO"/>
        </w:rPr>
      </w:pPr>
    </w:p>
    <w:p w14:paraId="35236D33" w14:textId="2B211DF6" w:rsidR="00034683" w:rsidRDefault="00034683" w:rsidP="00F6693D">
      <w:pPr>
        <w:rPr>
          <w:lang w:eastAsia="es-BO"/>
        </w:rPr>
      </w:pPr>
    </w:p>
    <w:p w14:paraId="30873771" w14:textId="4E66B20E" w:rsidR="00034683" w:rsidRDefault="00034683" w:rsidP="00F6693D">
      <w:pPr>
        <w:rPr>
          <w:lang w:eastAsia="es-BO"/>
        </w:rPr>
      </w:pPr>
    </w:p>
    <w:p w14:paraId="54C9B247" w14:textId="58C93CE9" w:rsidR="00034683" w:rsidRDefault="00034683" w:rsidP="00F6693D">
      <w:pPr>
        <w:rPr>
          <w:lang w:eastAsia="es-BO"/>
        </w:rPr>
      </w:pPr>
    </w:p>
    <w:p w14:paraId="3B329ECC" w14:textId="2002BE05" w:rsidR="00034683" w:rsidRDefault="00034683" w:rsidP="00F6693D">
      <w:pPr>
        <w:rPr>
          <w:lang w:eastAsia="es-BO"/>
        </w:rPr>
      </w:pPr>
    </w:p>
    <w:p w14:paraId="24408B5A" w14:textId="5B2EC4C0" w:rsidR="00034683" w:rsidRDefault="00034683" w:rsidP="00F6693D">
      <w:pPr>
        <w:rPr>
          <w:lang w:eastAsia="es-BO"/>
        </w:rPr>
      </w:pPr>
    </w:p>
    <w:p w14:paraId="2C3ED769" w14:textId="01DAB2F0" w:rsidR="00034683" w:rsidRDefault="00034683" w:rsidP="00F6693D">
      <w:pPr>
        <w:rPr>
          <w:lang w:eastAsia="es-BO"/>
        </w:rPr>
      </w:pPr>
    </w:p>
    <w:p w14:paraId="3E0F41DB" w14:textId="6A5E4FE4" w:rsidR="00034683" w:rsidRDefault="00034683" w:rsidP="00F6693D">
      <w:pPr>
        <w:rPr>
          <w:lang w:eastAsia="es-BO"/>
        </w:rPr>
      </w:pPr>
    </w:p>
    <w:p w14:paraId="3F2BCCCC" w14:textId="0E5C8854" w:rsidR="00034683" w:rsidRDefault="00034683" w:rsidP="00F6693D">
      <w:pPr>
        <w:rPr>
          <w:lang w:eastAsia="es-BO"/>
        </w:rPr>
      </w:pPr>
    </w:p>
    <w:p w14:paraId="0EE6A64E" w14:textId="4186C31F" w:rsidR="00034683" w:rsidRDefault="00034683" w:rsidP="00F6693D">
      <w:pPr>
        <w:rPr>
          <w:lang w:eastAsia="es-BO"/>
        </w:rPr>
      </w:pPr>
    </w:p>
    <w:p w14:paraId="69F84C5C" w14:textId="759645ED" w:rsidR="00034683" w:rsidRDefault="00034683" w:rsidP="00F6693D">
      <w:pPr>
        <w:rPr>
          <w:lang w:eastAsia="es-BO"/>
        </w:rPr>
      </w:pPr>
    </w:p>
    <w:p w14:paraId="21059381" w14:textId="6DF87FD2" w:rsidR="00034683" w:rsidRDefault="00034683" w:rsidP="00F6693D">
      <w:pPr>
        <w:rPr>
          <w:lang w:eastAsia="es-BO"/>
        </w:rPr>
      </w:pPr>
    </w:p>
    <w:p w14:paraId="714C91D3" w14:textId="21833348" w:rsidR="00034683" w:rsidRDefault="00034683" w:rsidP="00F6693D">
      <w:pPr>
        <w:rPr>
          <w:lang w:eastAsia="es-BO"/>
        </w:rPr>
      </w:pPr>
    </w:p>
    <w:p w14:paraId="41530CB9" w14:textId="2A1BFE8F" w:rsidR="00034683" w:rsidRDefault="00034683" w:rsidP="00F6693D">
      <w:pPr>
        <w:rPr>
          <w:lang w:eastAsia="es-BO"/>
        </w:rPr>
      </w:pPr>
    </w:p>
    <w:p w14:paraId="0F017644" w14:textId="4622B8AA" w:rsidR="00034683" w:rsidRDefault="00034683" w:rsidP="00F6693D">
      <w:pPr>
        <w:rPr>
          <w:lang w:eastAsia="es-BO"/>
        </w:rPr>
      </w:pPr>
    </w:p>
    <w:p w14:paraId="3D1320CF" w14:textId="21DE70E1" w:rsidR="00034683" w:rsidRDefault="00034683" w:rsidP="00F6693D">
      <w:pPr>
        <w:rPr>
          <w:lang w:eastAsia="es-BO"/>
        </w:rPr>
      </w:pPr>
    </w:p>
    <w:p w14:paraId="6D9D2CBF" w14:textId="41CA8064" w:rsidR="00034683" w:rsidRDefault="00034683" w:rsidP="00F6693D">
      <w:pPr>
        <w:rPr>
          <w:lang w:eastAsia="es-BO"/>
        </w:rPr>
      </w:pPr>
    </w:p>
    <w:p w14:paraId="10AC507A" w14:textId="3D980B1F" w:rsidR="00034683" w:rsidRDefault="00034683" w:rsidP="00F6693D">
      <w:pPr>
        <w:rPr>
          <w:lang w:eastAsia="es-BO"/>
        </w:rPr>
      </w:pPr>
    </w:p>
    <w:p w14:paraId="0CEF83F3" w14:textId="77777777" w:rsidR="00034683" w:rsidRPr="00F6693D" w:rsidRDefault="00034683" w:rsidP="00F6693D">
      <w:pPr>
        <w:rPr>
          <w:lang w:eastAsia="es-BO"/>
        </w:rPr>
      </w:pPr>
    </w:p>
    <w:p w14:paraId="4566AFA7" w14:textId="0F6D6114" w:rsidR="00F6693D" w:rsidRPr="00F6693D" w:rsidRDefault="00F6693D" w:rsidP="00F6693D">
      <w:pPr>
        <w:rPr>
          <w:lang w:eastAsia="es-BO"/>
        </w:rPr>
      </w:pPr>
    </w:p>
    <w:p w14:paraId="7231F3B6" w14:textId="015F76D8" w:rsidR="00F6693D" w:rsidRPr="00F6693D" w:rsidRDefault="00F6693D" w:rsidP="00F6693D">
      <w:pPr>
        <w:rPr>
          <w:lang w:eastAsia="es-BO"/>
        </w:rPr>
      </w:pPr>
    </w:p>
    <w:p w14:paraId="465EFB55" w14:textId="44DCD4EE" w:rsidR="00F6693D" w:rsidRPr="00F6693D" w:rsidRDefault="00F6693D" w:rsidP="00F6693D">
      <w:pPr>
        <w:rPr>
          <w:lang w:eastAsia="es-BO"/>
        </w:rPr>
      </w:pPr>
    </w:p>
    <w:p w14:paraId="66E186B9" w14:textId="74FA665C" w:rsidR="00F6693D" w:rsidRPr="00F6693D" w:rsidRDefault="00F6693D" w:rsidP="00F6693D">
      <w:pPr>
        <w:rPr>
          <w:lang w:eastAsia="es-BO"/>
        </w:rPr>
      </w:pPr>
    </w:p>
    <w:p w14:paraId="4535BAA0" w14:textId="394578D9" w:rsidR="00F6693D" w:rsidRPr="00F6693D" w:rsidRDefault="00F6693D" w:rsidP="00F6693D">
      <w:pPr>
        <w:rPr>
          <w:lang w:eastAsia="es-BO"/>
        </w:rPr>
      </w:pPr>
    </w:p>
    <w:p w14:paraId="3939E5D0" w14:textId="77777777" w:rsidR="00F6693D" w:rsidRPr="00F6693D" w:rsidRDefault="00F6693D" w:rsidP="00F6693D">
      <w:pPr>
        <w:rPr>
          <w:lang w:eastAsia="es-BO"/>
        </w:rPr>
      </w:pPr>
    </w:p>
    <w:p w14:paraId="33AA1CCC" w14:textId="4A2DB8F3" w:rsidR="00CB43B5" w:rsidRPr="00F6693D" w:rsidRDefault="00CB43B5" w:rsidP="00F6693D">
      <w:pPr>
        <w:pStyle w:val="Ttulo2"/>
        <w:numPr>
          <w:ilvl w:val="0"/>
          <w:numId w:val="0"/>
        </w:numPr>
      </w:pPr>
      <w:r w:rsidRPr="00F6693D">
        <w:t xml:space="preserve">Enfoques </w:t>
      </w:r>
      <w:r w:rsidRPr="00F6693D">
        <w:rPr>
          <w:highlight w:val="yellow"/>
        </w:rPr>
        <w:t>transversales</w:t>
      </w:r>
      <w:r w:rsidRPr="00F6693D">
        <w:t xml:space="preserve"> identificados por el sector</w:t>
      </w:r>
      <w:bookmarkEnd w:id="6"/>
    </w:p>
    <w:p w14:paraId="201F7A21" w14:textId="77777777" w:rsidR="00CB43B5" w:rsidRPr="00F6693D" w:rsidRDefault="00CB43B5" w:rsidP="008326EE">
      <w:pPr>
        <w:rPr>
          <w:lang w:eastAsia="es-BO"/>
        </w:rPr>
      </w:pPr>
      <w:r w:rsidRPr="00F6693D">
        <w:rPr>
          <w:lang w:eastAsia="es-BO"/>
        </w:rPr>
        <w:t>[Cada sector señalará qué enfoques aplica: género, generación, pueblos indígenas, transición justa, educación ambiental, etc.]</w:t>
      </w:r>
    </w:p>
    <w:p w14:paraId="729D0A6B" w14:textId="77777777" w:rsidR="00C73184" w:rsidRPr="00F6693D" w:rsidRDefault="00C73184" w:rsidP="008326EE">
      <w:pPr>
        <w:rPr>
          <w:lang w:eastAsia="es-BO"/>
        </w:rPr>
      </w:pPr>
      <w:r w:rsidRPr="00F6693D">
        <w:rPr>
          <w:lang w:eastAsia="es-BO"/>
        </w:rPr>
        <w:t xml:space="preserve">[incluir un texto introductorio, </w:t>
      </w:r>
      <w:r w:rsidR="005423A9" w:rsidRPr="00F6693D">
        <w:rPr>
          <w:lang w:eastAsia="es-BO"/>
        </w:rPr>
        <w:t xml:space="preserve">150 a </w:t>
      </w:r>
      <w:r w:rsidRPr="00F6693D">
        <w:rPr>
          <w:lang w:eastAsia="es-BO"/>
        </w:rPr>
        <w:t>200 palabras]</w:t>
      </w:r>
    </w:p>
    <w:p w14:paraId="0DA5A130" w14:textId="77777777" w:rsidR="00C73184" w:rsidRPr="00F6693D" w:rsidRDefault="005423A9" w:rsidP="008326EE">
      <w:pPr>
        <w:rPr>
          <w:lang w:eastAsia="es-BO"/>
        </w:rPr>
      </w:pPr>
      <w:r w:rsidRPr="00F6693D">
        <w:rPr>
          <w:lang w:eastAsia="es-BO"/>
        </w:rPr>
        <w:t>[ejemplo:</w:t>
      </w:r>
    </w:p>
    <w:p w14:paraId="26255AB9" w14:textId="77777777" w:rsidR="005423A9" w:rsidRPr="00F6693D" w:rsidRDefault="005423A9" w:rsidP="008326EE">
      <w:pPr>
        <w:rPr>
          <w:lang w:eastAsia="es-BO"/>
        </w:rPr>
      </w:pPr>
      <w:r w:rsidRPr="00F6693D">
        <w:rPr>
          <w:lang w:eastAsia="es-BO"/>
        </w:rPr>
        <w:t xml:space="preserve">El sector agropecuario reconoce que la acción climática eficaz requiere la integración de enfoques transversales que garanticen la inclusión social, la equidad y el respeto por la diversidad cultural y generacional. Entre los principales enfoques identificados se encuentra el enfoque de género, orientado a reducir las brechas que afectan a las mujeres productoras, asegurar su participación en los procesos de toma de decisiones y promover su acceso a recursos, tecnología y financiamiento. Asimismo, se considera el enfoque de generaciones, que prioriza la incorporación activa de juventudes rurales como actores estratégicos en la transformación de los sistemas productivos y en la adopción de prácticas </w:t>
      </w:r>
      <w:r w:rsidRPr="00F6693D">
        <w:rPr>
          <w:lang w:eastAsia="es-BO"/>
        </w:rPr>
        <w:lastRenderedPageBreak/>
        <w:t>innovadoras y sostenibles. El sector también incorpora el enfoque de interculturalidad y derechos de los pueblos indígenas, reconociendo la importancia de sus saberes tradicionales en la gestión de los recursos naturales, la conservación de la biodiversidad y la adaptación al cambio climático. Además, se promueve la transición justa, que busca que los procesos de reconversión productiva y tecnológica no generen impactos negativos sobre los medios de vida y las economías locales. Finalmente, se incorpora la educación ambiental como componente esencial para fortalecer capacidades, sensibilizar a los actores del sector y consolidar cambios culturales que favorezcan la sostenibilidad a largo plazo.]</w:t>
      </w:r>
    </w:p>
    <w:p w14:paraId="02162C19" w14:textId="77777777" w:rsidR="00CB43B5" w:rsidRPr="00F6693D" w:rsidRDefault="00CB43B5" w:rsidP="00CB43B5">
      <w:p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b/>
          <w:bCs/>
          <w:szCs w:val="24"/>
          <w:lang w:eastAsia="es-BO"/>
        </w:rPr>
        <w:t xml:space="preserve">[Tabla </w:t>
      </w:r>
      <w:r w:rsidR="00184AF7" w:rsidRPr="00F6693D">
        <w:rPr>
          <w:rFonts w:eastAsia="Times New Roman" w:cs="Times New Roman"/>
          <w:b/>
          <w:bCs/>
          <w:szCs w:val="24"/>
          <w:lang w:eastAsia="es-BO"/>
        </w:rPr>
        <w:t>x</w:t>
      </w:r>
      <w:r w:rsidRPr="00F6693D">
        <w:rPr>
          <w:rFonts w:eastAsia="Times New Roman" w:cs="Times New Roman"/>
          <w:b/>
          <w:bCs/>
          <w:szCs w:val="24"/>
          <w:lang w:eastAsia="es-BO"/>
        </w:rPr>
        <w:t>. Enfoques transversales priorizados]</w:t>
      </w:r>
    </w:p>
    <w:tbl>
      <w:tblPr>
        <w:tblStyle w:val="Tablaconcuadrculaclara"/>
        <w:tblW w:w="8500" w:type="dxa"/>
        <w:tblLook w:val="04A0" w:firstRow="1" w:lastRow="0" w:firstColumn="1" w:lastColumn="0" w:noHBand="0" w:noVBand="1"/>
      </w:tblPr>
      <w:tblGrid>
        <w:gridCol w:w="2122"/>
        <w:gridCol w:w="6378"/>
      </w:tblGrid>
      <w:tr w:rsidR="00CB43B5" w:rsidRPr="00F6693D" w14:paraId="752DB850" w14:textId="77777777" w:rsidTr="00144DB9">
        <w:tc>
          <w:tcPr>
            <w:tcW w:w="2122" w:type="dxa"/>
            <w:shd w:val="clear" w:color="auto" w:fill="F2F2F2" w:themeFill="background1" w:themeFillShade="F2"/>
            <w:hideMark/>
          </w:tcPr>
          <w:p w14:paraId="27A67A19" w14:textId="77777777" w:rsidR="00CB43B5" w:rsidRPr="00F6693D" w:rsidRDefault="00CB43B5" w:rsidP="00144DB9">
            <w:pPr>
              <w:spacing w:before="0" w:after="0"/>
              <w:jc w:val="center"/>
              <w:rPr>
                <w:rFonts w:eastAsia="Times New Roman" w:cs="Times New Roman"/>
                <w:b/>
                <w:bCs/>
                <w:szCs w:val="24"/>
                <w:lang w:eastAsia="es-BO"/>
              </w:rPr>
            </w:pPr>
            <w:r w:rsidRPr="00F6693D">
              <w:rPr>
                <w:rFonts w:eastAsia="Times New Roman" w:cs="Times New Roman"/>
                <w:b/>
                <w:bCs/>
                <w:szCs w:val="24"/>
                <w:lang w:eastAsia="es-BO"/>
              </w:rPr>
              <w:t>Enfoque transversal</w:t>
            </w:r>
          </w:p>
        </w:tc>
        <w:tc>
          <w:tcPr>
            <w:tcW w:w="6378" w:type="dxa"/>
            <w:shd w:val="clear" w:color="auto" w:fill="F2F2F2" w:themeFill="background1" w:themeFillShade="F2"/>
            <w:hideMark/>
          </w:tcPr>
          <w:p w14:paraId="38A6E1B5" w14:textId="77777777" w:rsidR="00CB43B5" w:rsidRPr="00F6693D" w:rsidRDefault="00CB43B5" w:rsidP="00144DB9">
            <w:pPr>
              <w:spacing w:before="0" w:after="0"/>
              <w:jc w:val="center"/>
              <w:rPr>
                <w:rFonts w:eastAsia="Times New Roman" w:cs="Times New Roman"/>
                <w:b/>
                <w:bCs/>
                <w:szCs w:val="24"/>
                <w:lang w:eastAsia="es-BO"/>
              </w:rPr>
            </w:pPr>
            <w:r w:rsidRPr="00F6693D">
              <w:rPr>
                <w:rFonts w:eastAsia="Times New Roman" w:cs="Times New Roman"/>
                <w:b/>
                <w:bCs/>
                <w:szCs w:val="24"/>
                <w:lang w:eastAsia="es-BO"/>
              </w:rPr>
              <w:t>Descripción de cómo se incorpora</w:t>
            </w:r>
          </w:p>
        </w:tc>
      </w:tr>
      <w:tr w:rsidR="00CB43B5" w:rsidRPr="00F6693D" w14:paraId="41DEA12E" w14:textId="77777777" w:rsidTr="00144DB9">
        <w:tc>
          <w:tcPr>
            <w:tcW w:w="2122" w:type="dxa"/>
            <w:vAlign w:val="center"/>
          </w:tcPr>
          <w:p w14:paraId="7604D3EA" w14:textId="77777777" w:rsidR="00CB43B5" w:rsidRPr="00F6693D" w:rsidRDefault="00CB43B5" w:rsidP="00144DB9">
            <w:r w:rsidRPr="00F6693D">
              <w:t>Género e igualdad</w:t>
            </w:r>
          </w:p>
        </w:tc>
        <w:tc>
          <w:tcPr>
            <w:tcW w:w="6378" w:type="dxa"/>
            <w:vAlign w:val="center"/>
          </w:tcPr>
          <w:p w14:paraId="3242A5C7" w14:textId="77777777" w:rsidR="00CB43B5" w:rsidRPr="00F6693D" w:rsidRDefault="00CB43B5" w:rsidP="00144DB9">
            <w:r w:rsidRPr="00F6693D">
              <w:t>Se integrará promoviendo la participación de mujeres en todas las etapas de los proyectos, desde la planificación hasta la ejecución y seguimiento. Se asegurará el acceso equitativo a capacitación, crédito, tecnologías adaptativas y espacios de decisión, reconociendo su rol en la producción agropecuaria y la conservación de semillas, contribuyendo a la equidad y la eficacia de las medidas.</w:t>
            </w:r>
          </w:p>
        </w:tc>
      </w:tr>
      <w:tr w:rsidR="00CB43B5" w:rsidRPr="00F6693D" w14:paraId="5767C836" w14:textId="77777777" w:rsidTr="00144DB9">
        <w:tc>
          <w:tcPr>
            <w:tcW w:w="2122" w:type="dxa"/>
          </w:tcPr>
          <w:p w14:paraId="14DA2C0B" w14:textId="77777777" w:rsidR="00CB43B5" w:rsidRPr="00F6693D" w:rsidRDefault="00CB43B5" w:rsidP="00144DB9">
            <w:pPr>
              <w:rPr>
                <w:lang w:eastAsia="es-BO"/>
              </w:rPr>
            </w:pPr>
            <w:r w:rsidRPr="00F6693D">
              <w:rPr>
                <w:lang w:eastAsia="es-BO"/>
              </w:rPr>
              <w:t>[…]</w:t>
            </w:r>
          </w:p>
        </w:tc>
        <w:tc>
          <w:tcPr>
            <w:tcW w:w="6378" w:type="dxa"/>
          </w:tcPr>
          <w:p w14:paraId="10D85CAB" w14:textId="77777777" w:rsidR="00CB43B5" w:rsidRPr="00F6693D" w:rsidRDefault="00CB43B5" w:rsidP="00144DB9">
            <w:pPr>
              <w:rPr>
                <w:lang w:eastAsia="es-BO"/>
              </w:rPr>
            </w:pPr>
          </w:p>
        </w:tc>
      </w:tr>
    </w:tbl>
    <w:p w14:paraId="4378B362" w14:textId="77777777" w:rsidR="0025616F" w:rsidRPr="00F6693D" w:rsidRDefault="0025616F" w:rsidP="00771C01">
      <w:pPr>
        <w:pStyle w:val="Ttulo2"/>
        <w:numPr>
          <w:ilvl w:val="1"/>
          <w:numId w:val="12"/>
        </w:numPr>
        <w:rPr>
          <w:rFonts w:eastAsia="Times New Roman"/>
          <w:lang w:eastAsia="es-BO"/>
        </w:rPr>
      </w:pPr>
      <w:bookmarkStart w:id="7" w:name="_Toc203484730"/>
      <w:r w:rsidRPr="00F6693D">
        <w:rPr>
          <w:rFonts w:eastAsia="Times New Roman"/>
          <w:lang w:eastAsia="es-BO"/>
        </w:rPr>
        <w:t xml:space="preserve">Contribución </w:t>
      </w:r>
      <w:r w:rsidRPr="00F6693D">
        <w:rPr>
          <w:rFonts w:eastAsia="Times New Roman"/>
          <w:highlight w:val="yellow"/>
          <w:lang w:eastAsia="es-BO"/>
        </w:rPr>
        <w:t xml:space="preserve">integral </w:t>
      </w:r>
      <w:r w:rsidR="008D765C" w:rsidRPr="00F6693D">
        <w:rPr>
          <w:rFonts w:eastAsia="Times New Roman"/>
          <w:highlight w:val="yellow"/>
          <w:lang w:eastAsia="es-BO"/>
        </w:rPr>
        <w:t>y cobeneficios</w:t>
      </w:r>
      <w:r w:rsidR="00CB43B5" w:rsidRPr="00F6693D">
        <w:rPr>
          <w:rFonts w:eastAsia="Times New Roman"/>
          <w:lang w:eastAsia="es-BO"/>
        </w:rPr>
        <w:t xml:space="preserve"> del sector</w:t>
      </w:r>
      <w:bookmarkEnd w:id="7"/>
    </w:p>
    <w:p w14:paraId="0886826F" w14:textId="77777777" w:rsidR="003764AD" w:rsidRPr="00F6693D" w:rsidRDefault="0025616F" w:rsidP="003764AD">
      <w:r w:rsidRPr="00F6693D">
        <w:t>[Explicar cómo las metas contribuyen a prioridades sectoriales como la seguridad alimentaria, la transición energética, etc.]</w:t>
      </w:r>
      <w:r w:rsidR="003764AD" w:rsidRPr="00F6693D">
        <w:t>, [Listar hasta 5 co-beneficios esperados.]</w:t>
      </w:r>
    </w:p>
    <w:p w14:paraId="2B4688E8" w14:textId="77777777" w:rsidR="008D765C" w:rsidRPr="00F6693D" w:rsidRDefault="008D765C" w:rsidP="003B2FE1">
      <w:r w:rsidRPr="00F6693D">
        <w:t>[Ejemplo:</w:t>
      </w:r>
    </w:p>
    <w:p w14:paraId="4BFF090B" w14:textId="77777777" w:rsidR="003764AD" w:rsidRPr="00F6693D" w:rsidRDefault="003764AD" w:rsidP="003764AD">
      <w:pPr>
        <w:rPr>
          <w:lang w:eastAsia="es-BO"/>
        </w:rPr>
      </w:pPr>
      <w:r w:rsidRPr="00F6693D">
        <w:rPr>
          <w:lang w:eastAsia="es-BO"/>
        </w:rPr>
        <w:t>Las metas sectoriales contribuyen de manera integral al cumplimiento de objetivos estratégicos prioritarios del sector agropecuario, con énfasis en la sostenibilidad, la seguridad alimentaria y la resiliencia climática. En particular, las acciones propuestas fomentan la transición hacia sistemas de producción agropecuarios más eficientes, bajos en emisiones de gases de efecto invernadero y adaptados a los impactos del cambio climático. Estas metas fortalecen la capacidad de los productores para mantener la disponibilidad y estabilidad de alimentos, promueven la conservación y restauración de suelos y recursos hídricos, e incorporan tecnologías limpias e innovadoras que mejoran la productividad de manera sostenible. Asimismo, se busca integrar el enfoque de inclusión social, considerando la participación activa de mujeres, juventudes y pueblos indígenas, y contribuyendo a reducir brechas estructurales en el acceso a recursos, conocimientos y medios de vida dignos.</w:t>
      </w:r>
    </w:p>
    <w:p w14:paraId="120ABFE5" w14:textId="77777777" w:rsidR="003764AD" w:rsidRPr="00F6693D" w:rsidRDefault="003764AD" w:rsidP="003764AD">
      <w:pPr>
        <w:rPr>
          <w:lang w:eastAsia="es-BO"/>
        </w:rPr>
      </w:pPr>
      <w:r w:rsidRPr="00F6693D">
        <w:rPr>
          <w:lang w:eastAsia="es-BO"/>
        </w:rPr>
        <w:t>Entre los cobeneficios tenemos:</w:t>
      </w:r>
    </w:p>
    <w:p w14:paraId="41705FF3" w14:textId="77777777" w:rsidR="003764AD" w:rsidRPr="00F6693D" w:rsidRDefault="003764AD" w:rsidP="00771C01">
      <w:pPr>
        <w:pStyle w:val="Prrafodelista"/>
        <w:numPr>
          <w:ilvl w:val="0"/>
          <w:numId w:val="5"/>
        </w:numPr>
        <w:rPr>
          <w:lang w:eastAsia="es-BO"/>
        </w:rPr>
      </w:pPr>
      <w:r w:rsidRPr="00F6693D">
        <w:rPr>
          <w:lang w:eastAsia="es-BO"/>
        </w:rPr>
        <w:t>Incremento de la seguridad alimentaria a través de una producción diversificada y estable.</w:t>
      </w:r>
    </w:p>
    <w:p w14:paraId="0F1DCA1E" w14:textId="77777777" w:rsidR="003764AD" w:rsidRPr="00F6693D" w:rsidRDefault="003764AD" w:rsidP="00771C01">
      <w:pPr>
        <w:pStyle w:val="Prrafodelista"/>
        <w:numPr>
          <w:ilvl w:val="0"/>
          <w:numId w:val="5"/>
        </w:numPr>
        <w:rPr>
          <w:lang w:eastAsia="es-BO"/>
        </w:rPr>
      </w:pPr>
      <w:r w:rsidRPr="00F6693D">
        <w:rPr>
          <w:lang w:eastAsia="es-BO"/>
        </w:rPr>
        <w:t>Reducción de emisiones de gases de efecto invernadero del sector agropecuario.</w:t>
      </w:r>
    </w:p>
    <w:p w14:paraId="04DF9667" w14:textId="77777777" w:rsidR="003764AD" w:rsidRPr="00F6693D" w:rsidRDefault="003764AD" w:rsidP="00771C01">
      <w:pPr>
        <w:pStyle w:val="Prrafodelista"/>
        <w:numPr>
          <w:ilvl w:val="0"/>
          <w:numId w:val="5"/>
        </w:numPr>
        <w:rPr>
          <w:lang w:eastAsia="es-BO"/>
        </w:rPr>
      </w:pPr>
      <w:r w:rsidRPr="00F6693D">
        <w:rPr>
          <w:lang w:eastAsia="es-BO"/>
        </w:rPr>
        <w:lastRenderedPageBreak/>
        <w:t>Mejora de la resiliencia de los sistemas productivos frente a sequías, heladas y eventos extremos.</w:t>
      </w:r>
    </w:p>
    <w:p w14:paraId="1099950F" w14:textId="77777777" w:rsidR="003764AD" w:rsidRPr="00F6693D" w:rsidRDefault="003764AD" w:rsidP="00771C01">
      <w:pPr>
        <w:pStyle w:val="Prrafodelista"/>
        <w:numPr>
          <w:ilvl w:val="0"/>
          <w:numId w:val="5"/>
        </w:numPr>
        <w:rPr>
          <w:lang w:eastAsia="es-BO"/>
        </w:rPr>
      </w:pPr>
      <w:r w:rsidRPr="00F6693D">
        <w:rPr>
          <w:lang w:eastAsia="es-BO"/>
        </w:rPr>
        <w:t>Conservación de la biodiversidad y restauración de ecosistemas productivos degradados.</w:t>
      </w:r>
    </w:p>
    <w:p w14:paraId="6EF8174B" w14:textId="77777777" w:rsidR="008D765C" w:rsidRPr="00F6693D" w:rsidRDefault="003764AD" w:rsidP="00771C01">
      <w:pPr>
        <w:pStyle w:val="Prrafodelista"/>
        <w:numPr>
          <w:ilvl w:val="0"/>
          <w:numId w:val="5"/>
        </w:numPr>
        <w:rPr>
          <w:lang w:eastAsia="es-BO"/>
        </w:rPr>
      </w:pPr>
      <w:r w:rsidRPr="00F6693D">
        <w:rPr>
          <w:lang w:eastAsia="es-BO"/>
        </w:rPr>
        <w:t>Generación de empleo rural, inclusión social y fortalecimiento de capacidades técnicas locales.</w:t>
      </w:r>
    </w:p>
    <w:p w14:paraId="3EA296F3" w14:textId="77777777" w:rsidR="00CB43B5" w:rsidRPr="00F6693D" w:rsidRDefault="00CB43B5" w:rsidP="00771C01">
      <w:pPr>
        <w:pStyle w:val="Ttulo1"/>
        <w:numPr>
          <w:ilvl w:val="0"/>
          <w:numId w:val="12"/>
        </w:numPr>
      </w:pPr>
      <w:bookmarkStart w:id="8" w:name="_Toc203484731"/>
      <w:r w:rsidRPr="00F6693D">
        <w:t>Lista de referencias (formato APA)</w:t>
      </w:r>
      <w:bookmarkEnd w:id="8"/>
    </w:p>
    <w:p w14:paraId="7E85C81B" w14:textId="77777777" w:rsidR="00CB43B5" w:rsidRPr="00F6693D" w:rsidRDefault="00CB43B5" w:rsidP="00CB43B5">
      <w:p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 xml:space="preserve">[Incluir todas las fuentes utilizadas, ejemplo: </w:t>
      </w:r>
    </w:p>
    <w:p w14:paraId="6D5AC039" w14:textId="77777777" w:rsidR="00CB43B5" w:rsidRPr="00F6693D" w:rsidRDefault="00CB43B5" w:rsidP="00CB43B5">
      <w:pPr>
        <w:jc w:val="left"/>
      </w:pPr>
      <w:r w:rsidRPr="00F6693D">
        <w:t xml:space="preserve">Estado Plurinacional de Bolivia. (2021). </w:t>
      </w:r>
      <w:r w:rsidRPr="00F6693D">
        <w:rPr>
          <w:rStyle w:val="nfasis"/>
          <w:i w:val="0"/>
          <w:iCs w:val="0"/>
        </w:rPr>
        <w:t>Contribución Determinada a Nivel Nacional de Bolivia 2021–2030</w:t>
      </w:r>
      <w:r w:rsidRPr="00F6693D">
        <w:t xml:space="preserve"> (NDC 2.0). MMAYA-APMT. </w:t>
      </w:r>
      <w:r w:rsidR="009C42DD" w:rsidRPr="00F6693D">
        <w:t>Recuperado</w:t>
      </w:r>
      <w:r w:rsidRPr="00F6693D">
        <w:t xml:space="preserve"> </w:t>
      </w:r>
      <w:r w:rsidR="009C42DD" w:rsidRPr="00F6693D">
        <w:t>de</w:t>
      </w:r>
      <w:r w:rsidRPr="00F6693D">
        <w:t xml:space="preserve">: </w:t>
      </w:r>
      <w:hyperlink r:id="rId8" w:history="1">
        <w:r w:rsidRPr="00F6693D">
          <w:rPr>
            <w:rStyle w:val="Hipervnculo"/>
          </w:rPr>
          <w:t>https://www4.unfccc.int/sites/ndcstaging/PublishedDocuments/Bolivia%20(Plurinational%20State%20of)%20First/Contribuci%C3%B3n%20Nacionalmente%20Determinada%20Actualizada%20del%20Estado%20Plurinacional%20de%20Bolivia.pdf</w:t>
        </w:r>
      </w:hyperlink>
      <w:r w:rsidRPr="00F6693D">
        <w:t>]</w:t>
      </w:r>
    </w:p>
    <w:p w14:paraId="4D8D33D5" w14:textId="77777777" w:rsidR="0025616F" w:rsidRPr="00F6693D" w:rsidRDefault="0025616F" w:rsidP="00771C01">
      <w:pPr>
        <w:pStyle w:val="Ttulo1"/>
        <w:numPr>
          <w:ilvl w:val="0"/>
          <w:numId w:val="12"/>
        </w:numPr>
        <w:rPr>
          <w:rFonts w:eastAsia="Times New Roman"/>
          <w:lang w:eastAsia="es-BO"/>
        </w:rPr>
      </w:pPr>
      <w:bookmarkStart w:id="9" w:name="_Toc203484732"/>
      <w:r w:rsidRPr="00F6693D">
        <w:rPr>
          <w:rFonts w:eastAsia="Times New Roman"/>
          <w:lang w:eastAsia="es-BO"/>
        </w:rPr>
        <w:t>Anexos</w:t>
      </w:r>
      <w:bookmarkEnd w:id="9"/>
    </w:p>
    <w:p w14:paraId="3D0A4639" w14:textId="77777777" w:rsidR="004F7CC8" w:rsidRPr="00F6693D" w:rsidRDefault="004F7CC8" w:rsidP="004F7CC8">
      <w:pPr>
        <w:rPr>
          <w:lang w:eastAsia="es-BO"/>
        </w:rPr>
      </w:pPr>
      <w:r w:rsidRPr="00F6693D">
        <w:rPr>
          <w:lang w:eastAsia="es-BO"/>
        </w:rPr>
        <w:t>[Incluir los anexos correspondientes]</w:t>
      </w:r>
    </w:p>
    <w:p w14:paraId="4E34DC5C" w14:textId="77777777" w:rsidR="0025616F" w:rsidRPr="00F6693D" w:rsidRDefault="0025616F" w:rsidP="00771C01">
      <w:pPr>
        <w:pStyle w:val="Ttulo2"/>
        <w:numPr>
          <w:ilvl w:val="1"/>
          <w:numId w:val="12"/>
        </w:numPr>
        <w:rPr>
          <w:rFonts w:eastAsia="Times New Roman"/>
          <w:lang w:eastAsia="es-BO"/>
        </w:rPr>
      </w:pPr>
      <w:bookmarkStart w:id="10" w:name="_Toc203484733"/>
      <w:r w:rsidRPr="00F6693D">
        <w:rPr>
          <w:rFonts w:eastAsia="Times New Roman"/>
          <w:lang w:eastAsia="es-BO"/>
        </w:rPr>
        <w:t>Información técnica complementaria</w:t>
      </w:r>
      <w:bookmarkEnd w:id="10"/>
    </w:p>
    <w:p w14:paraId="5CF6A597" w14:textId="77777777" w:rsidR="0083296C" w:rsidRPr="00F6693D" w:rsidRDefault="0025616F"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Fórmula de cálculo de indicadores</w:t>
      </w:r>
      <w:r w:rsidR="0083296C" w:rsidRPr="00F6693D">
        <w:rPr>
          <w:rFonts w:eastAsia="Times New Roman" w:cs="Times New Roman"/>
          <w:szCs w:val="24"/>
          <w:lang w:eastAsia="es-BO"/>
        </w:rPr>
        <w:t xml:space="preserve"> </w:t>
      </w:r>
    </w:p>
    <w:p w14:paraId="7D3B6878" w14:textId="77777777" w:rsidR="0083296C" w:rsidRPr="00F6693D" w:rsidRDefault="0083296C"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Responsables de implementación, medición y reporte</w:t>
      </w:r>
    </w:p>
    <w:p w14:paraId="6B23C2E5" w14:textId="77777777" w:rsidR="0025616F" w:rsidRPr="00F6693D" w:rsidRDefault="0083296C"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Frecuencia de seguimiento</w:t>
      </w:r>
    </w:p>
    <w:p w14:paraId="55F8BC68" w14:textId="77777777" w:rsidR="0083296C" w:rsidRPr="00F6693D" w:rsidRDefault="0083296C" w:rsidP="00771C01">
      <w:pPr>
        <w:pStyle w:val="Ttulo2"/>
        <w:numPr>
          <w:ilvl w:val="1"/>
          <w:numId w:val="12"/>
        </w:numPr>
        <w:rPr>
          <w:rFonts w:eastAsia="Times New Roman"/>
          <w:lang w:eastAsia="es-BO"/>
        </w:rPr>
      </w:pPr>
      <w:bookmarkStart w:id="11" w:name="_Toc203484734"/>
      <w:r w:rsidRPr="00F6693D">
        <w:rPr>
          <w:rFonts w:eastAsia="Times New Roman"/>
          <w:lang w:eastAsia="es-BO"/>
        </w:rPr>
        <w:t>Costos y mecanismos financieros</w:t>
      </w:r>
      <w:bookmarkEnd w:id="11"/>
    </w:p>
    <w:p w14:paraId="4260CD4E" w14:textId="77777777" w:rsidR="0025616F" w:rsidRPr="00F6693D" w:rsidRDefault="0025616F"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Detalle de costos estimados</w:t>
      </w:r>
      <w:r w:rsidR="0083296C" w:rsidRPr="00F6693D">
        <w:rPr>
          <w:rFonts w:eastAsia="Times New Roman" w:cs="Times New Roman"/>
          <w:szCs w:val="24"/>
          <w:lang w:eastAsia="es-BO"/>
        </w:rPr>
        <w:t xml:space="preserve"> (Memoria de cálculo)</w:t>
      </w:r>
    </w:p>
    <w:p w14:paraId="16B0F5EA" w14:textId="77777777" w:rsidR="0025616F" w:rsidRPr="00F6693D" w:rsidRDefault="0025616F"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Mecanismos financieros previstos</w:t>
      </w:r>
    </w:p>
    <w:p w14:paraId="1DD6DDEA" w14:textId="77777777" w:rsidR="006801EF" w:rsidRPr="00F6693D" w:rsidRDefault="0083296C" w:rsidP="00771C01">
      <w:pPr>
        <w:pStyle w:val="Ttulo2"/>
        <w:numPr>
          <w:ilvl w:val="1"/>
          <w:numId w:val="12"/>
        </w:numPr>
        <w:rPr>
          <w:rStyle w:val="Ttulo2Car"/>
          <w:b/>
        </w:rPr>
      </w:pPr>
      <w:bookmarkStart w:id="12" w:name="_Toc203484735"/>
      <w:r w:rsidRPr="00F6693D">
        <w:rPr>
          <w:rStyle w:val="Ttulo2Car"/>
          <w:b/>
        </w:rPr>
        <w:t>Matriz de datos por meta</w:t>
      </w:r>
      <w:r w:rsidR="0025616F" w:rsidRPr="00F6693D">
        <w:rPr>
          <w:rStyle w:val="Ttulo2Car"/>
          <w:b/>
        </w:rPr>
        <w:t xml:space="preserve"> y acción</w:t>
      </w:r>
      <w:bookmarkEnd w:id="12"/>
    </w:p>
    <w:p w14:paraId="570C0D8F" w14:textId="77777777" w:rsidR="0025616F" w:rsidRPr="00F6693D" w:rsidRDefault="0025616F"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Adjuntar el formato Excel proporcionado</w:t>
      </w:r>
    </w:p>
    <w:p w14:paraId="0470FF98" w14:textId="77777777" w:rsidR="006801EF" w:rsidRPr="00F6693D" w:rsidRDefault="0025616F" w:rsidP="00771C01">
      <w:pPr>
        <w:pStyle w:val="Ttulo2"/>
        <w:numPr>
          <w:ilvl w:val="1"/>
          <w:numId w:val="12"/>
        </w:numPr>
      </w:pPr>
      <w:bookmarkStart w:id="13" w:name="_Toc203484736"/>
      <w:r w:rsidRPr="00F6693D">
        <w:t>Documentos técnicos, mapas o estudios de respaldo</w:t>
      </w:r>
      <w:bookmarkEnd w:id="13"/>
    </w:p>
    <w:p w14:paraId="7E0A191F" w14:textId="77777777" w:rsidR="0025616F" w:rsidRPr="00F6693D" w:rsidRDefault="0025616F" w:rsidP="00771C01">
      <w:pPr>
        <w:pStyle w:val="Prrafodelista"/>
        <w:numPr>
          <w:ilvl w:val="0"/>
          <w:numId w:val="6"/>
        </w:numPr>
        <w:spacing w:before="100" w:beforeAutospacing="1" w:after="100" w:afterAutospacing="1" w:line="240" w:lineRule="auto"/>
        <w:jc w:val="left"/>
        <w:rPr>
          <w:rFonts w:eastAsia="Times New Roman" w:cs="Times New Roman"/>
          <w:szCs w:val="24"/>
          <w:lang w:eastAsia="es-BO"/>
        </w:rPr>
      </w:pPr>
      <w:r w:rsidRPr="00F6693D">
        <w:rPr>
          <w:rFonts w:eastAsia="Times New Roman" w:cs="Times New Roman"/>
          <w:szCs w:val="24"/>
          <w:lang w:eastAsia="es-BO"/>
        </w:rPr>
        <w:t>Adjuntar si corresponde.</w:t>
      </w:r>
    </w:p>
    <w:sectPr w:rsidR="0025616F" w:rsidRPr="00F6693D" w:rsidSect="00204795">
      <w:footerReference w:type="default" r:id="rId9"/>
      <w:type w:val="continuous"/>
      <w:pgSz w:w="11906" w:h="16838" w:code="9"/>
      <w:pgMar w:top="1417" w:right="1701" w:bottom="1417" w:left="1701" w:header="567" w:footer="454" w:gutter="0"/>
      <w:cols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6130" w14:textId="77777777" w:rsidR="002A1B2B" w:rsidRDefault="002A1B2B">
      <w:pPr>
        <w:spacing w:before="0" w:after="0" w:line="240" w:lineRule="auto"/>
      </w:pPr>
      <w:r>
        <w:separator/>
      </w:r>
    </w:p>
  </w:endnote>
  <w:endnote w:type="continuationSeparator" w:id="0">
    <w:p w14:paraId="7283308C" w14:textId="77777777" w:rsidR="002A1B2B" w:rsidRDefault="002A1B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928850"/>
      <w:docPartObj>
        <w:docPartGallery w:val="Page Numbers (Bottom of Page)"/>
        <w:docPartUnique/>
      </w:docPartObj>
    </w:sdtPr>
    <w:sdtEndPr>
      <w:rPr>
        <w:sz w:val="20"/>
      </w:rPr>
    </w:sdtEndPr>
    <w:sdtContent>
      <w:p w14:paraId="28867884" w14:textId="77777777" w:rsidR="00144DB9" w:rsidRPr="00A57981" w:rsidRDefault="00144DB9">
        <w:pPr>
          <w:pStyle w:val="Piedepgina"/>
          <w:jc w:val="center"/>
          <w:rPr>
            <w:sz w:val="20"/>
          </w:rPr>
        </w:pPr>
        <w:r w:rsidRPr="00A57981">
          <w:rPr>
            <w:sz w:val="20"/>
          </w:rPr>
          <w:fldChar w:fldCharType="begin"/>
        </w:r>
        <w:r w:rsidRPr="00A57981">
          <w:rPr>
            <w:sz w:val="20"/>
          </w:rPr>
          <w:instrText>PAGE   \* MERGEFORMAT</w:instrText>
        </w:r>
        <w:r w:rsidRPr="00A57981">
          <w:rPr>
            <w:sz w:val="20"/>
          </w:rPr>
          <w:fldChar w:fldCharType="separate"/>
        </w:r>
        <w:r w:rsidRPr="00A57981">
          <w:rPr>
            <w:sz w:val="20"/>
            <w:lang w:val="es-ES"/>
          </w:rPr>
          <w:t>2</w:t>
        </w:r>
        <w:r w:rsidRPr="00A57981">
          <w:rPr>
            <w:sz w:val="20"/>
          </w:rPr>
          <w:fldChar w:fldCharType="end"/>
        </w:r>
      </w:p>
    </w:sdtContent>
  </w:sdt>
  <w:p w14:paraId="49CA1F44" w14:textId="77777777" w:rsidR="00144DB9" w:rsidRDefault="00144D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99BE" w14:textId="77777777" w:rsidR="002A1B2B" w:rsidRDefault="002A1B2B">
      <w:pPr>
        <w:spacing w:before="0" w:after="0" w:line="240" w:lineRule="auto"/>
      </w:pPr>
      <w:r>
        <w:separator/>
      </w:r>
    </w:p>
  </w:footnote>
  <w:footnote w:type="continuationSeparator" w:id="0">
    <w:p w14:paraId="749A8A07" w14:textId="77777777" w:rsidR="002A1B2B" w:rsidRDefault="002A1B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862"/>
    <w:multiLevelType w:val="multilevel"/>
    <w:tmpl w:val="5F4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E1AA3"/>
    <w:multiLevelType w:val="hybridMultilevel"/>
    <w:tmpl w:val="2B1ACD0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64F0DE7"/>
    <w:multiLevelType w:val="multilevel"/>
    <w:tmpl w:val="F07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7B3"/>
    <w:multiLevelType w:val="hybridMultilevel"/>
    <w:tmpl w:val="F8403E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6ED40CC"/>
    <w:multiLevelType w:val="hybridMultilevel"/>
    <w:tmpl w:val="0D1E81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94E7055"/>
    <w:multiLevelType w:val="multilevel"/>
    <w:tmpl w:val="C79E9770"/>
    <w:styleLink w:val="Estilo1j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031C29"/>
    <w:multiLevelType w:val="multilevel"/>
    <w:tmpl w:val="9614FC7A"/>
    <w:styleLink w:val="Libro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pStyle w:val="Ttulo4"/>
      <w:lvlText w:val="%1.%4.%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E13517"/>
    <w:multiLevelType w:val="multilevel"/>
    <w:tmpl w:val="E75EA4F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813372"/>
    <w:multiLevelType w:val="multilevel"/>
    <w:tmpl w:val="9614FC7A"/>
    <w:numStyleLink w:val="LibroCC"/>
  </w:abstractNum>
  <w:abstractNum w:abstractNumId="9" w15:restartNumberingAfterBreak="0">
    <w:nsid w:val="323C5347"/>
    <w:multiLevelType w:val="hybridMultilevel"/>
    <w:tmpl w:val="345E679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32465FCA"/>
    <w:multiLevelType w:val="multilevel"/>
    <w:tmpl w:val="15329EC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7927D4"/>
    <w:multiLevelType w:val="hybridMultilevel"/>
    <w:tmpl w:val="7116C72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37FF0361"/>
    <w:multiLevelType w:val="hybridMultilevel"/>
    <w:tmpl w:val="687CD8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9F9532A"/>
    <w:multiLevelType w:val="hybridMultilevel"/>
    <w:tmpl w:val="7AAA615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45836660"/>
    <w:multiLevelType w:val="hybridMultilevel"/>
    <w:tmpl w:val="73B216A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56EA1FB4"/>
    <w:multiLevelType w:val="hybridMultilevel"/>
    <w:tmpl w:val="F2ECC9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DBE1827"/>
    <w:multiLevelType w:val="hybridMultilevel"/>
    <w:tmpl w:val="79C26C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12466A3"/>
    <w:multiLevelType w:val="multilevel"/>
    <w:tmpl w:val="F866F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CA4673"/>
    <w:multiLevelType w:val="multilevel"/>
    <w:tmpl w:val="D82C977C"/>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F235AE"/>
    <w:multiLevelType w:val="multilevel"/>
    <w:tmpl w:val="07E8CE76"/>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BE41D2D"/>
    <w:multiLevelType w:val="hybridMultilevel"/>
    <w:tmpl w:val="02501C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5"/>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Ttulo3"/>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6"/>
  </w:num>
  <w:num w:numId="3">
    <w:abstractNumId w:val="8"/>
  </w:num>
  <w:num w:numId="4">
    <w:abstractNumId w:val="5"/>
  </w:num>
  <w:num w:numId="5">
    <w:abstractNumId w:val="13"/>
  </w:num>
  <w:num w:numId="6">
    <w:abstractNumId w:val="14"/>
  </w:num>
  <w:num w:numId="7">
    <w:abstractNumId w:val="17"/>
  </w:num>
  <w:num w:numId="8">
    <w:abstractNumId w:val="11"/>
  </w:num>
  <w:num w:numId="9">
    <w:abstractNumId w:val="3"/>
  </w:num>
  <w:num w:numId="10">
    <w:abstractNumId w:val="4"/>
  </w:num>
  <w:num w:numId="11">
    <w:abstractNumId w:val="20"/>
  </w:num>
  <w:num w:numId="12">
    <w:abstractNumId w:val="7"/>
  </w:num>
  <w:num w:numId="13">
    <w:abstractNumId w:val="15"/>
  </w:num>
  <w:num w:numId="14">
    <w:abstractNumId w:val="19"/>
  </w:num>
  <w:num w:numId="15">
    <w:abstractNumId w:val="10"/>
  </w:num>
  <w:num w:numId="16">
    <w:abstractNumId w:val="0"/>
  </w:num>
  <w:num w:numId="17">
    <w:abstractNumId w:val="2"/>
  </w:num>
  <w:num w:numId="18">
    <w:abstractNumId w:val="18"/>
  </w:num>
  <w:num w:numId="19">
    <w:abstractNumId w:val="9"/>
  </w:num>
  <w:num w:numId="20">
    <w:abstractNumId w:val="1"/>
  </w:num>
  <w:num w:numId="21">
    <w:abstractNumId w:val="12"/>
  </w:num>
  <w:num w:numId="2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9C"/>
    <w:rsid w:val="00005474"/>
    <w:rsid w:val="00010E81"/>
    <w:rsid w:val="00034683"/>
    <w:rsid w:val="00055A2B"/>
    <w:rsid w:val="00070889"/>
    <w:rsid w:val="000B6406"/>
    <w:rsid w:val="000C3A8F"/>
    <w:rsid w:val="000C484C"/>
    <w:rsid w:val="0010778D"/>
    <w:rsid w:val="0013437E"/>
    <w:rsid w:val="00144DB9"/>
    <w:rsid w:val="00166888"/>
    <w:rsid w:val="00184AF7"/>
    <w:rsid w:val="001932A0"/>
    <w:rsid w:val="00194402"/>
    <w:rsid w:val="001D29EC"/>
    <w:rsid w:val="001E09E9"/>
    <w:rsid w:val="001F34EE"/>
    <w:rsid w:val="00204795"/>
    <w:rsid w:val="002306ED"/>
    <w:rsid w:val="00233AC8"/>
    <w:rsid w:val="002435E1"/>
    <w:rsid w:val="0025616F"/>
    <w:rsid w:val="00290C4B"/>
    <w:rsid w:val="002A1B2B"/>
    <w:rsid w:val="002C62E2"/>
    <w:rsid w:val="002E12A5"/>
    <w:rsid w:val="003220AA"/>
    <w:rsid w:val="003764AD"/>
    <w:rsid w:val="00383974"/>
    <w:rsid w:val="00393283"/>
    <w:rsid w:val="003B0E39"/>
    <w:rsid w:val="003B2FE1"/>
    <w:rsid w:val="003C539D"/>
    <w:rsid w:val="003F51A6"/>
    <w:rsid w:val="00407F99"/>
    <w:rsid w:val="004112FC"/>
    <w:rsid w:val="00445E56"/>
    <w:rsid w:val="004564EF"/>
    <w:rsid w:val="004678EA"/>
    <w:rsid w:val="00477E8B"/>
    <w:rsid w:val="004D54C6"/>
    <w:rsid w:val="004F7CC8"/>
    <w:rsid w:val="005054F7"/>
    <w:rsid w:val="005423A9"/>
    <w:rsid w:val="00547796"/>
    <w:rsid w:val="006118DA"/>
    <w:rsid w:val="00623871"/>
    <w:rsid w:val="006801EF"/>
    <w:rsid w:val="00682C51"/>
    <w:rsid w:val="006B106C"/>
    <w:rsid w:val="006C0139"/>
    <w:rsid w:val="006F0AF5"/>
    <w:rsid w:val="007344B9"/>
    <w:rsid w:val="00736E18"/>
    <w:rsid w:val="00771A04"/>
    <w:rsid w:val="00771C01"/>
    <w:rsid w:val="007759E4"/>
    <w:rsid w:val="007877CA"/>
    <w:rsid w:val="007C6C7E"/>
    <w:rsid w:val="00810767"/>
    <w:rsid w:val="008326EE"/>
    <w:rsid w:val="0083296C"/>
    <w:rsid w:val="00852573"/>
    <w:rsid w:val="008654E4"/>
    <w:rsid w:val="0089138A"/>
    <w:rsid w:val="008A060C"/>
    <w:rsid w:val="008A6D31"/>
    <w:rsid w:val="008B43C7"/>
    <w:rsid w:val="008D765C"/>
    <w:rsid w:val="008E29AC"/>
    <w:rsid w:val="008E39A1"/>
    <w:rsid w:val="008E47D0"/>
    <w:rsid w:val="008E536E"/>
    <w:rsid w:val="008F137C"/>
    <w:rsid w:val="00916658"/>
    <w:rsid w:val="00916890"/>
    <w:rsid w:val="00925019"/>
    <w:rsid w:val="0093684E"/>
    <w:rsid w:val="009C42DD"/>
    <w:rsid w:val="009D547D"/>
    <w:rsid w:val="00A331C7"/>
    <w:rsid w:val="00A408F3"/>
    <w:rsid w:val="00A85BC1"/>
    <w:rsid w:val="00AF6FE6"/>
    <w:rsid w:val="00B24A30"/>
    <w:rsid w:val="00B26EF1"/>
    <w:rsid w:val="00B84040"/>
    <w:rsid w:val="00BA01D4"/>
    <w:rsid w:val="00BA5507"/>
    <w:rsid w:val="00BB2CEF"/>
    <w:rsid w:val="00BB4679"/>
    <w:rsid w:val="00C21425"/>
    <w:rsid w:val="00C73184"/>
    <w:rsid w:val="00C85541"/>
    <w:rsid w:val="00C9604E"/>
    <w:rsid w:val="00CB43B5"/>
    <w:rsid w:val="00CB48E0"/>
    <w:rsid w:val="00CC33E9"/>
    <w:rsid w:val="00CC7779"/>
    <w:rsid w:val="00D241AB"/>
    <w:rsid w:val="00D243A7"/>
    <w:rsid w:val="00D55871"/>
    <w:rsid w:val="00D55923"/>
    <w:rsid w:val="00D6511E"/>
    <w:rsid w:val="00D663B0"/>
    <w:rsid w:val="00DB6671"/>
    <w:rsid w:val="00DE6314"/>
    <w:rsid w:val="00E23D9C"/>
    <w:rsid w:val="00E3439A"/>
    <w:rsid w:val="00E6458E"/>
    <w:rsid w:val="00EE24D1"/>
    <w:rsid w:val="00EE46B1"/>
    <w:rsid w:val="00F13E77"/>
    <w:rsid w:val="00F53E34"/>
    <w:rsid w:val="00F6693D"/>
    <w:rsid w:val="00F66E70"/>
    <w:rsid w:val="00F70FE4"/>
    <w:rsid w:val="00FD2059"/>
    <w:rsid w:val="00FE03EE"/>
    <w:rsid w:val="00FE052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5494"/>
  <w15:chartTrackingRefBased/>
  <w15:docId w15:val="{ED80A5C9-4F3F-490E-8343-48CD917C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9C"/>
    <w:pPr>
      <w:spacing w:before="120" w:after="120"/>
      <w:jc w:val="both"/>
    </w:pPr>
    <w:rPr>
      <w:rFonts w:ascii="Times New Roman" w:hAnsi="Times New Roman"/>
      <w:sz w:val="24"/>
    </w:rPr>
  </w:style>
  <w:style w:type="paragraph" w:styleId="Ttulo1">
    <w:name w:val="heading 1"/>
    <w:basedOn w:val="Normal"/>
    <w:next w:val="Normal"/>
    <w:link w:val="Ttulo1Car"/>
    <w:uiPriority w:val="9"/>
    <w:qFormat/>
    <w:rsid w:val="00E23D9C"/>
    <w:pPr>
      <w:keepNext/>
      <w:keepLines/>
      <w:numPr>
        <w:numId w:val="1"/>
      </w:numPr>
      <w:spacing w:before="240" w:after="240" w:line="240" w:lineRule="auto"/>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E23D9C"/>
    <w:pPr>
      <w:keepNext/>
      <w:keepLines/>
      <w:numPr>
        <w:ilvl w:val="1"/>
        <w:numId w:val="1"/>
      </w:numPr>
      <w:spacing w:before="240" w:after="240"/>
      <w:ind w:left="1080"/>
      <w:outlineLvl w:val="1"/>
    </w:pPr>
    <w:rPr>
      <w:rFonts w:eastAsiaTheme="majorEastAsia" w:cstheme="majorBidi"/>
      <w:b/>
      <w:szCs w:val="26"/>
    </w:rPr>
  </w:style>
  <w:style w:type="paragraph" w:styleId="Ttulo3">
    <w:name w:val="heading 3"/>
    <w:basedOn w:val="Normal"/>
    <w:link w:val="Ttulo3Car"/>
    <w:uiPriority w:val="9"/>
    <w:qFormat/>
    <w:rsid w:val="00E23D9C"/>
    <w:pPr>
      <w:numPr>
        <w:ilvl w:val="2"/>
        <w:numId w:val="1"/>
      </w:numPr>
      <w:spacing w:line="240" w:lineRule="auto"/>
      <w:ind w:left="1800" w:hanging="180"/>
      <w:outlineLvl w:val="2"/>
    </w:pPr>
    <w:rPr>
      <w:rFonts w:eastAsia="Times New Roman" w:cs="Times New Roman"/>
      <w:b/>
      <w:bCs/>
      <w:szCs w:val="27"/>
      <w:lang w:eastAsia="es-BO"/>
    </w:rPr>
  </w:style>
  <w:style w:type="paragraph" w:styleId="Ttulo4">
    <w:name w:val="heading 4"/>
    <w:basedOn w:val="Normal"/>
    <w:next w:val="Normal"/>
    <w:link w:val="Ttulo4Car"/>
    <w:uiPriority w:val="9"/>
    <w:unhideWhenUsed/>
    <w:qFormat/>
    <w:rsid w:val="008A060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D9C"/>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E23D9C"/>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23D9C"/>
    <w:rPr>
      <w:rFonts w:ascii="Times New Roman" w:eastAsia="Times New Roman" w:hAnsi="Times New Roman" w:cs="Times New Roman"/>
      <w:b/>
      <w:bCs/>
      <w:sz w:val="24"/>
      <w:szCs w:val="27"/>
      <w:lang w:eastAsia="es-BO"/>
    </w:rPr>
  </w:style>
  <w:style w:type="paragraph" w:styleId="Descripcin">
    <w:name w:val="caption"/>
    <w:aliases w:val="Tabla y Figura"/>
    <w:basedOn w:val="Normal"/>
    <w:next w:val="Normal"/>
    <w:uiPriority w:val="35"/>
    <w:unhideWhenUsed/>
    <w:qFormat/>
    <w:rsid w:val="00E23D9C"/>
    <w:pPr>
      <w:spacing w:line="240" w:lineRule="auto"/>
    </w:pPr>
    <w:rPr>
      <w:i/>
      <w:iCs/>
      <w:color w:val="44546A" w:themeColor="text2"/>
      <w:sz w:val="22"/>
      <w:szCs w:val="18"/>
    </w:rPr>
  </w:style>
  <w:style w:type="paragraph" w:styleId="Piedepgina">
    <w:name w:val="footer"/>
    <w:basedOn w:val="Normal"/>
    <w:link w:val="PiedepginaCar"/>
    <w:uiPriority w:val="99"/>
    <w:unhideWhenUsed/>
    <w:rsid w:val="00E23D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D9C"/>
    <w:rPr>
      <w:rFonts w:ascii="Times New Roman" w:hAnsi="Times New Roman"/>
      <w:sz w:val="24"/>
    </w:rPr>
  </w:style>
  <w:style w:type="numbering" w:customStyle="1" w:styleId="Estilo1jc">
    <w:name w:val="Estilo1 jc"/>
    <w:uiPriority w:val="99"/>
    <w:rsid w:val="00E23D9C"/>
    <w:pPr>
      <w:numPr>
        <w:numId w:val="4"/>
      </w:numPr>
    </w:pPr>
  </w:style>
  <w:style w:type="character" w:customStyle="1" w:styleId="Ttulo4Car">
    <w:name w:val="Título 4 Car"/>
    <w:basedOn w:val="Fuentedeprrafopredeter"/>
    <w:link w:val="Ttulo4"/>
    <w:uiPriority w:val="9"/>
    <w:rsid w:val="008A060C"/>
    <w:rPr>
      <w:rFonts w:asciiTheme="majorHAnsi" w:eastAsiaTheme="majorEastAsia" w:hAnsiTheme="majorHAnsi" w:cstheme="majorBidi"/>
      <w:i/>
      <w:iCs/>
      <w:color w:val="2F5496" w:themeColor="accent1" w:themeShade="BF"/>
      <w:sz w:val="24"/>
    </w:rPr>
  </w:style>
  <w:style w:type="numbering" w:customStyle="1" w:styleId="LibroCC">
    <w:name w:val="LibroCC"/>
    <w:uiPriority w:val="99"/>
    <w:rsid w:val="008A060C"/>
    <w:pPr>
      <w:numPr>
        <w:numId w:val="2"/>
      </w:numPr>
    </w:pPr>
  </w:style>
  <w:style w:type="paragraph" w:styleId="Prrafodelista">
    <w:name w:val="List Paragraph"/>
    <w:aliases w:val="Fase,GRÁFICO,titulo 5,Titulo,List Paragraph 1,List-Bulleted,centrado 10,TITULO,Bullets,References,123 List Paragraph,List Paragraph1,Celula,Normal 2,List Paragraph (numbered (a)),List_Paragraph,Multilevel para_II,Numbered List Paragraph"/>
    <w:basedOn w:val="Normal"/>
    <w:link w:val="PrrafodelistaCar"/>
    <w:uiPriority w:val="34"/>
    <w:qFormat/>
    <w:rsid w:val="008A060C"/>
    <w:pPr>
      <w:ind w:left="720"/>
      <w:contextualSpacing/>
    </w:pPr>
  </w:style>
  <w:style w:type="character" w:customStyle="1" w:styleId="PrrafodelistaCar">
    <w:name w:val="Párrafo de lista Car"/>
    <w:aliases w:val="Fase Car,GRÁFICO Car,titulo 5 Car,Titulo Car,List Paragraph 1 Car,List-Bulleted Car,centrado 10 Car,TITULO Car,Bullets Car,References Car,123 List Paragraph Car,List Paragraph1 Car,Celula Car,Normal 2 Car,List_Paragraph Car"/>
    <w:link w:val="Prrafodelista"/>
    <w:uiPriority w:val="34"/>
    <w:qFormat/>
    <w:locked/>
    <w:rsid w:val="008A060C"/>
    <w:rPr>
      <w:rFonts w:ascii="Times New Roman" w:hAnsi="Times New Roman"/>
      <w:sz w:val="24"/>
    </w:rPr>
  </w:style>
  <w:style w:type="character" w:styleId="Textoennegrita">
    <w:name w:val="Strong"/>
    <w:basedOn w:val="Fuentedeprrafopredeter"/>
    <w:uiPriority w:val="22"/>
    <w:qFormat/>
    <w:rsid w:val="008A060C"/>
    <w:rPr>
      <w:b/>
      <w:bCs/>
    </w:rPr>
  </w:style>
  <w:style w:type="paragraph" w:styleId="TtuloTDC">
    <w:name w:val="TOC Heading"/>
    <w:basedOn w:val="Ttulo1"/>
    <w:next w:val="Normal"/>
    <w:uiPriority w:val="39"/>
    <w:unhideWhenUsed/>
    <w:qFormat/>
    <w:rsid w:val="008A060C"/>
    <w:pPr>
      <w:numPr>
        <w:numId w:val="0"/>
      </w:numPr>
      <w:spacing w:after="0" w:line="259" w:lineRule="auto"/>
      <w:jc w:val="left"/>
      <w:outlineLvl w:val="9"/>
    </w:pPr>
    <w:rPr>
      <w:rFonts w:asciiTheme="majorHAnsi" w:hAnsiTheme="majorHAnsi"/>
      <w:b w:val="0"/>
      <w:color w:val="2F5496" w:themeColor="accent1" w:themeShade="BF"/>
      <w:sz w:val="32"/>
      <w:lang w:eastAsia="es-BO"/>
    </w:rPr>
  </w:style>
  <w:style w:type="paragraph" w:styleId="TDC1">
    <w:name w:val="toc 1"/>
    <w:basedOn w:val="Normal"/>
    <w:next w:val="Normal"/>
    <w:autoRedefine/>
    <w:uiPriority w:val="39"/>
    <w:unhideWhenUsed/>
    <w:rsid w:val="008A060C"/>
    <w:pPr>
      <w:spacing w:after="100"/>
    </w:pPr>
  </w:style>
  <w:style w:type="paragraph" w:styleId="TDC2">
    <w:name w:val="toc 2"/>
    <w:basedOn w:val="Normal"/>
    <w:next w:val="Normal"/>
    <w:autoRedefine/>
    <w:uiPriority w:val="39"/>
    <w:unhideWhenUsed/>
    <w:rsid w:val="008A060C"/>
    <w:pPr>
      <w:spacing w:after="100"/>
      <w:ind w:left="240"/>
    </w:pPr>
  </w:style>
  <w:style w:type="character" w:styleId="Hipervnculo">
    <w:name w:val="Hyperlink"/>
    <w:basedOn w:val="Fuentedeprrafopredeter"/>
    <w:uiPriority w:val="99"/>
    <w:unhideWhenUsed/>
    <w:rsid w:val="008A060C"/>
    <w:rPr>
      <w:color w:val="0563C1" w:themeColor="hyperlink"/>
      <w:u w:val="single"/>
    </w:rPr>
  </w:style>
  <w:style w:type="paragraph" w:styleId="Encabezado">
    <w:name w:val="header"/>
    <w:basedOn w:val="Normal"/>
    <w:link w:val="EncabezadoCar"/>
    <w:uiPriority w:val="99"/>
    <w:unhideWhenUsed/>
    <w:rsid w:val="0092501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5019"/>
    <w:rPr>
      <w:rFonts w:ascii="Times New Roman" w:hAnsi="Times New Roman"/>
      <w:sz w:val="24"/>
    </w:rPr>
  </w:style>
  <w:style w:type="table" w:styleId="Tabladelista6concolores-nfasis3">
    <w:name w:val="List Table 6 Colorful Accent 3"/>
    <w:basedOn w:val="Tablanormal"/>
    <w:uiPriority w:val="51"/>
    <w:rsid w:val="004564EF"/>
    <w:pPr>
      <w:spacing w:after="0" w:line="240" w:lineRule="auto"/>
    </w:pPr>
    <w:rPr>
      <w:rFonts w:ascii="Aptos" w:eastAsia="Aptos" w:hAnsi="Aptos" w:cs="Aptos"/>
      <w:color w:val="7B7B7B" w:themeColor="accent3" w:themeShade="BF"/>
      <w:lang w:val="es-MX" w:eastAsia="es-MX"/>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clara">
    <w:name w:val="Grid Table Light"/>
    <w:basedOn w:val="Tablanormal"/>
    <w:uiPriority w:val="40"/>
    <w:rsid w:val="004564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8F137C"/>
    <w:pPr>
      <w:spacing w:before="100" w:beforeAutospacing="1" w:after="100" w:afterAutospacing="1" w:line="240" w:lineRule="auto"/>
      <w:jc w:val="left"/>
    </w:pPr>
    <w:rPr>
      <w:rFonts w:eastAsia="Times New Roman" w:cs="Times New Roman"/>
      <w:szCs w:val="24"/>
      <w:lang w:eastAsia="es-BO"/>
    </w:rPr>
  </w:style>
  <w:style w:type="character" w:styleId="nfasis">
    <w:name w:val="Emphasis"/>
    <w:basedOn w:val="Fuentedeprrafopredeter"/>
    <w:uiPriority w:val="20"/>
    <w:qFormat/>
    <w:rsid w:val="0025616F"/>
    <w:rPr>
      <w:i/>
      <w:iCs/>
    </w:rPr>
  </w:style>
  <w:style w:type="character" w:styleId="Mencinsinresolver">
    <w:name w:val="Unresolved Mention"/>
    <w:basedOn w:val="Fuentedeprrafopredeter"/>
    <w:uiPriority w:val="99"/>
    <w:semiHidden/>
    <w:unhideWhenUsed/>
    <w:rsid w:val="006801EF"/>
    <w:rPr>
      <w:color w:val="605E5C"/>
      <w:shd w:val="clear" w:color="auto" w:fill="E1DFDD"/>
    </w:rPr>
  </w:style>
  <w:style w:type="paragraph" w:styleId="TDC3">
    <w:name w:val="toc 3"/>
    <w:basedOn w:val="Normal"/>
    <w:next w:val="Normal"/>
    <w:autoRedefine/>
    <w:uiPriority w:val="39"/>
    <w:unhideWhenUsed/>
    <w:rsid w:val="00CB43B5"/>
    <w:pPr>
      <w:spacing w:after="100"/>
      <w:ind w:left="480"/>
    </w:pPr>
  </w:style>
  <w:style w:type="paragraph" w:styleId="Textonotapie">
    <w:name w:val="footnote text"/>
    <w:basedOn w:val="Normal"/>
    <w:link w:val="TextonotapieCar"/>
    <w:uiPriority w:val="99"/>
    <w:semiHidden/>
    <w:unhideWhenUsed/>
    <w:rsid w:val="00E3439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3439A"/>
    <w:rPr>
      <w:rFonts w:ascii="Times New Roman" w:hAnsi="Times New Roman"/>
      <w:sz w:val="20"/>
      <w:szCs w:val="20"/>
    </w:rPr>
  </w:style>
  <w:style w:type="character" w:styleId="Refdenotaalpie">
    <w:name w:val="footnote reference"/>
    <w:basedOn w:val="Fuentedeprrafopredeter"/>
    <w:uiPriority w:val="99"/>
    <w:semiHidden/>
    <w:unhideWhenUsed/>
    <w:rsid w:val="00E3439A"/>
    <w:rPr>
      <w:vertAlign w:val="superscript"/>
    </w:rPr>
  </w:style>
  <w:style w:type="table" w:styleId="Tablaconcuadrcula">
    <w:name w:val="Table Grid"/>
    <w:basedOn w:val="Tablanormal"/>
    <w:uiPriority w:val="39"/>
    <w:rsid w:val="00230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249">
      <w:bodyDiv w:val="1"/>
      <w:marLeft w:val="0"/>
      <w:marRight w:val="0"/>
      <w:marTop w:val="0"/>
      <w:marBottom w:val="0"/>
      <w:divBdr>
        <w:top w:val="none" w:sz="0" w:space="0" w:color="auto"/>
        <w:left w:val="none" w:sz="0" w:space="0" w:color="auto"/>
        <w:bottom w:val="none" w:sz="0" w:space="0" w:color="auto"/>
        <w:right w:val="none" w:sz="0" w:space="0" w:color="auto"/>
      </w:divBdr>
      <w:divsChild>
        <w:div w:id="1017923239">
          <w:marLeft w:val="0"/>
          <w:marRight w:val="0"/>
          <w:marTop w:val="0"/>
          <w:marBottom w:val="0"/>
          <w:divBdr>
            <w:top w:val="none" w:sz="0" w:space="0" w:color="auto"/>
            <w:left w:val="none" w:sz="0" w:space="0" w:color="auto"/>
            <w:bottom w:val="none" w:sz="0" w:space="0" w:color="auto"/>
            <w:right w:val="none" w:sz="0" w:space="0" w:color="auto"/>
          </w:divBdr>
          <w:divsChild>
            <w:div w:id="109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6101">
      <w:bodyDiv w:val="1"/>
      <w:marLeft w:val="0"/>
      <w:marRight w:val="0"/>
      <w:marTop w:val="0"/>
      <w:marBottom w:val="0"/>
      <w:divBdr>
        <w:top w:val="none" w:sz="0" w:space="0" w:color="auto"/>
        <w:left w:val="none" w:sz="0" w:space="0" w:color="auto"/>
        <w:bottom w:val="none" w:sz="0" w:space="0" w:color="auto"/>
        <w:right w:val="none" w:sz="0" w:space="0" w:color="auto"/>
      </w:divBdr>
    </w:div>
    <w:div w:id="195239910">
      <w:bodyDiv w:val="1"/>
      <w:marLeft w:val="0"/>
      <w:marRight w:val="0"/>
      <w:marTop w:val="0"/>
      <w:marBottom w:val="0"/>
      <w:divBdr>
        <w:top w:val="none" w:sz="0" w:space="0" w:color="auto"/>
        <w:left w:val="none" w:sz="0" w:space="0" w:color="auto"/>
        <w:bottom w:val="none" w:sz="0" w:space="0" w:color="auto"/>
        <w:right w:val="none" w:sz="0" w:space="0" w:color="auto"/>
      </w:divBdr>
    </w:div>
    <w:div w:id="204174484">
      <w:bodyDiv w:val="1"/>
      <w:marLeft w:val="0"/>
      <w:marRight w:val="0"/>
      <w:marTop w:val="0"/>
      <w:marBottom w:val="0"/>
      <w:divBdr>
        <w:top w:val="none" w:sz="0" w:space="0" w:color="auto"/>
        <w:left w:val="none" w:sz="0" w:space="0" w:color="auto"/>
        <w:bottom w:val="none" w:sz="0" w:space="0" w:color="auto"/>
        <w:right w:val="none" w:sz="0" w:space="0" w:color="auto"/>
      </w:divBdr>
    </w:div>
    <w:div w:id="723917916">
      <w:bodyDiv w:val="1"/>
      <w:marLeft w:val="0"/>
      <w:marRight w:val="0"/>
      <w:marTop w:val="0"/>
      <w:marBottom w:val="0"/>
      <w:divBdr>
        <w:top w:val="none" w:sz="0" w:space="0" w:color="auto"/>
        <w:left w:val="none" w:sz="0" w:space="0" w:color="auto"/>
        <w:bottom w:val="none" w:sz="0" w:space="0" w:color="auto"/>
        <w:right w:val="none" w:sz="0" w:space="0" w:color="auto"/>
      </w:divBdr>
    </w:div>
    <w:div w:id="773749065">
      <w:bodyDiv w:val="1"/>
      <w:marLeft w:val="0"/>
      <w:marRight w:val="0"/>
      <w:marTop w:val="0"/>
      <w:marBottom w:val="0"/>
      <w:divBdr>
        <w:top w:val="none" w:sz="0" w:space="0" w:color="auto"/>
        <w:left w:val="none" w:sz="0" w:space="0" w:color="auto"/>
        <w:bottom w:val="none" w:sz="0" w:space="0" w:color="auto"/>
        <w:right w:val="none" w:sz="0" w:space="0" w:color="auto"/>
      </w:divBdr>
    </w:div>
    <w:div w:id="805389711">
      <w:bodyDiv w:val="1"/>
      <w:marLeft w:val="0"/>
      <w:marRight w:val="0"/>
      <w:marTop w:val="0"/>
      <w:marBottom w:val="0"/>
      <w:divBdr>
        <w:top w:val="none" w:sz="0" w:space="0" w:color="auto"/>
        <w:left w:val="none" w:sz="0" w:space="0" w:color="auto"/>
        <w:bottom w:val="none" w:sz="0" w:space="0" w:color="auto"/>
        <w:right w:val="none" w:sz="0" w:space="0" w:color="auto"/>
      </w:divBdr>
    </w:div>
    <w:div w:id="940839651">
      <w:bodyDiv w:val="1"/>
      <w:marLeft w:val="0"/>
      <w:marRight w:val="0"/>
      <w:marTop w:val="0"/>
      <w:marBottom w:val="0"/>
      <w:divBdr>
        <w:top w:val="none" w:sz="0" w:space="0" w:color="auto"/>
        <w:left w:val="none" w:sz="0" w:space="0" w:color="auto"/>
        <w:bottom w:val="none" w:sz="0" w:space="0" w:color="auto"/>
        <w:right w:val="none" w:sz="0" w:space="0" w:color="auto"/>
      </w:divBdr>
    </w:div>
    <w:div w:id="950405352">
      <w:bodyDiv w:val="1"/>
      <w:marLeft w:val="0"/>
      <w:marRight w:val="0"/>
      <w:marTop w:val="0"/>
      <w:marBottom w:val="0"/>
      <w:divBdr>
        <w:top w:val="none" w:sz="0" w:space="0" w:color="auto"/>
        <w:left w:val="none" w:sz="0" w:space="0" w:color="auto"/>
        <w:bottom w:val="none" w:sz="0" w:space="0" w:color="auto"/>
        <w:right w:val="none" w:sz="0" w:space="0" w:color="auto"/>
      </w:divBdr>
    </w:div>
    <w:div w:id="1088118712">
      <w:bodyDiv w:val="1"/>
      <w:marLeft w:val="0"/>
      <w:marRight w:val="0"/>
      <w:marTop w:val="0"/>
      <w:marBottom w:val="0"/>
      <w:divBdr>
        <w:top w:val="none" w:sz="0" w:space="0" w:color="auto"/>
        <w:left w:val="none" w:sz="0" w:space="0" w:color="auto"/>
        <w:bottom w:val="none" w:sz="0" w:space="0" w:color="auto"/>
        <w:right w:val="none" w:sz="0" w:space="0" w:color="auto"/>
      </w:divBdr>
      <w:divsChild>
        <w:div w:id="812909365">
          <w:marLeft w:val="0"/>
          <w:marRight w:val="0"/>
          <w:marTop w:val="0"/>
          <w:marBottom w:val="0"/>
          <w:divBdr>
            <w:top w:val="none" w:sz="0" w:space="0" w:color="auto"/>
            <w:left w:val="none" w:sz="0" w:space="0" w:color="auto"/>
            <w:bottom w:val="none" w:sz="0" w:space="0" w:color="auto"/>
            <w:right w:val="none" w:sz="0" w:space="0" w:color="auto"/>
          </w:divBdr>
          <w:divsChild>
            <w:div w:id="492259474">
              <w:marLeft w:val="0"/>
              <w:marRight w:val="0"/>
              <w:marTop w:val="0"/>
              <w:marBottom w:val="0"/>
              <w:divBdr>
                <w:top w:val="none" w:sz="0" w:space="0" w:color="auto"/>
                <w:left w:val="none" w:sz="0" w:space="0" w:color="auto"/>
                <w:bottom w:val="none" w:sz="0" w:space="0" w:color="auto"/>
                <w:right w:val="none" w:sz="0" w:space="0" w:color="auto"/>
              </w:divBdr>
            </w:div>
          </w:divsChild>
        </w:div>
        <w:div w:id="2046634942">
          <w:marLeft w:val="0"/>
          <w:marRight w:val="0"/>
          <w:marTop w:val="0"/>
          <w:marBottom w:val="0"/>
          <w:divBdr>
            <w:top w:val="none" w:sz="0" w:space="0" w:color="auto"/>
            <w:left w:val="none" w:sz="0" w:space="0" w:color="auto"/>
            <w:bottom w:val="none" w:sz="0" w:space="0" w:color="auto"/>
            <w:right w:val="none" w:sz="0" w:space="0" w:color="auto"/>
          </w:divBdr>
          <w:divsChild>
            <w:div w:id="1905601342">
              <w:marLeft w:val="0"/>
              <w:marRight w:val="0"/>
              <w:marTop w:val="0"/>
              <w:marBottom w:val="0"/>
              <w:divBdr>
                <w:top w:val="none" w:sz="0" w:space="0" w:color="auto"/>
                <w:left w:val="none" w:sz="0" w:space="0" w:color="auto"/>
                <w:bottom w:val="none" w:sz="0" w:space="0" w:color="auto"/>
                <w:right w:val="none" w:sz="0" w:space="0" w:color="auto"/>
              </w:divBdr>
            </w:div>
          </w:divsChild>
        </w:div>
        <w:div w:id="945387758">
          <w:marLeft w:val="0"/>
          <w:marRight w:val="0"/>
          <w:marTop w:val="0"/>
          <w:marBottom w:val="0"/>
          <w:divBdr>
            <w:top w:val="none" w:sz="0" w:space="0" w:color="auto"/>
            <w:left w:val="none" w:sz="0" w:space="0" w:color="auto"/>
            <w:bottom w:val="none" w:sz="0" w:space="0" w:color="auto"/>
            <w:right w:val="none" w:sz="0" w:space="0" w:color="auto"/>
          </w:divBdr>
          <w:divsChild>
            <w:div w:id="945308838">
              <w:marLeft w:val="0"/>
              <w:marRight w:val="0"/>
              <w:marTop w:val="0"/>
              <w:marBottom w:val="0"/>
              <w:divBdr>
                <w:top w:val="none" w:sz="0" w:space="0" w:color="auto"/>
                <w:left w:val="none" w:sz="0" w:space="0" w:color="auto"/>
                <w:bottom w:val="none" w:sz="0" w:space="0" w:color="auto"/>
                <w:right w:val="none" w:sz="0" w:space="0" w:color="auto"/>
              </w:divBdr>
            </w:div>
          </w:divsChild>
        </w:div>
        <w:div w:id="2094274819">
          <w:marLeft w:val="0"/>
          <w:marRight w:val="0"/>
          <w:marTop w:val="0"/>
          <w:marBottom w:val="0"/>
          <w:divBdr>
            <w:top w:val="none" w:sz="0" w:space="0" w:color="auto"/>
            <w:left w:val="none" w:sz="0" w:space="0" w:color="auto"/>
            <w:bottom w:val="none" w:sz="0" w:space="0" w:color="auto"/>
            <w:right w:val="none" w:sz="0" w:space="0" w:color="auto"/>
          </w:divBdr>
          <w:divsChild>
            <w:div w:id="901480070">
              <w:marLeft w:val="0"/>
              <w:marRight w:val="0"/>
              <w:marTop w:val="0"/>
              <w:marBottom w:val="0"/>
              <w:divBdr>
                <w:top w:val="none" w:sz="0" w:space="0" w:color="auto"/>
                <w:left w:val="none" w:sz="0" w:space="0" w:color="auto"/>
                <w:bottom w:val="none" w:sz="0" w:space="0" w:color="auto"/>
                <w:right w:val="none" w:sz="0" w:space="0" w:color="auto"/>
              </w:divBdr>
            </w:div>
          </w:divsChild>
        </w:div>
        <w:div w:id="973947386">
          <w:marLeft w:val="0"/>
          <w:marRight w:val="0"/>
          <w:marTop w:val="0"/>
          <w:marBottom w:val="0"/>
          <w:divBdr>
            <w:top w:val="none" w:sz="0" w:space="0" w:color="auto"/>
            <w:left w:val="none" w:sz="0" w:space="0" w:color="auto"/>
            <w:bottom w:val="none" w:sz="0" w:space="0" w:color="auto"/>
            <w:right w:val="none" w:sz="0" w:space="0" w:color="auto"/>
          </w:divBdr>
          <w:divsChild>
            <w:div w:id="2105687142">
              <w:marLeft w:val="0"/>
              <w:marRight w:val="0"/>
              <w:marTop w:val="0"/>
              <w:marBottom w:val="0"/>
              <w:divBdr>
                <w:top w:val="none" w:sz="0" w:space="0" w:color="auto"/>
                <w:left w:val="none" w:sz="0" w:space="0" w:color="auto"/>
                <w:bottom w:val="none" w:sz="0" w:space="0" w:color="auto"/>
                <w:right w:val="none" w:sz="0" w:space="0" w:color="auto"/>
              </w:divBdr>
            </w:div>
          </w:divsChild>
        </w:div>
        <w:div w:id="1415474488">
          <w:marLeft w:val="0"/>
          <w:marRight w:val="0"/>
          <w:marTop w:val="0"/>
          <w:marBottom w:val="0"/>
          <w:divBdr>
            <w:top w:val="none" w:sz="0" w:space="0" w:color="auto"/>
            <w:left w:val="none" w:sz="0" w:space="0" w:color="auto"/>
            <w:bottom w:val="none" w:sz="0" w:space="0" w:color="auto"/>
            <w:right w:val="none" w:sz="0" w:space="0" w:color="auto"/>
          </w:divBdr>
          <w:divsChild>
            <w:div w:id="664630349">
              <w:marLeft w:val="0"/>
              <w:marRight w:val="0"/>
              <w:marTop w:val="0"/>
              <w:marBottom w:val="0"/>
              <w:divBdr>
                <w:top w:val="none" w:sz="0" w:space="0" w:color="auto"/>
                <w:left w:val="none" w:sz="0" w:space="0" w:color="auto"/>
                <w:bottom w:val="none" w:sz="0" w:space="0" w:color="auto"/>
                <w:right w:val="none" w:sz="0" w:space="0" w:color="auto"/>
              </w:divBdr>
            </w:div>
          </w:divsChild>
        </w:div>
        <w:div w:id="1804691832">
          <w:marLeft w:val="0"/>
          <w:marRight w:val="0"/>
          <w:marTop w:val="0"/>
          <w:marBottom w:val="0"/>
          <w:divBdr>
            <w:top w:val="none" w:sz="0" w:space="0" w:color="auto"/>
            <w:left w:val="none" w:sz="0" w:space="0" w:color="auto"/>
            <w:bottom w:val="none" w:sz="0" w:space="0" w:color="auto"/>
            <w:right w:val="none" w:sz="0" w:space="0" w:color="auto"/>
          </w:divBdr>
          <w:divsChild>
            <w:div w:id="746269542">
              <w:marLeft w:val="0"/>
              <w:marRight w:val="0"/>
              <w:marTop w:val="0"/>
              <w:marBottom w:val="0"/>
              <w:divBdr>
                <w:top w:val="none" w:sz="0" w:space="0" w:color="auto"/>
                <w:left w:val="none" w:sz="0" w:space="0" w:color="auto"/>
                <w:bottom w:val="none" w:sz="0" w:space="0" w:color="auto"/>
                <w:right w:val="none" w:sz="0" w:space="0" w:color="auto"/>
              </w:divBdr>
            </w:div>
          </w:divsChild>
        </w:div>
        <w:div w:id="960067318">
          <w:marLeft w:val="0"/>
          <w:marRight w:val="0"/>
          <w:marTop w:val="0"/>
          <w:marBottom w:val="0"/>
          <w:divBdr>
            <w:top w:val="none" w:sz="0" w:space="0" w:color="auto"/>
            <w:left w:val="none" w:sz="0" w:space="0" w:color="auto"/>
            <w:bottom w:val="none" w:sz="0" w:space="0" w:color="auto"/>
            <w:right w:val="none" w:sz="0" w:space="0" w:color="auto"/>
          </w:divBdr>
          <w:divsChild>
            <w:div w:id="312494200">
              <w:marLeft w:val="0"/>
              <w:marRight w:val="0"/>
              <w:marTop w:val="0"/>
              <w:marBottom w:val="0"/>
              <w:divBdr>
                <w:top w:val="none" w:sz="0" w:space="0" w:color="auto"/>
                <w:left w:val="none" w:sz="0" w:space="0" w:color="auto"/>
                <w:bottom w:val="none" w:sz="0" w:space="0" w:color="auto"/>
                <w:right w:val="none" w:sz="0" w:space="0" w:color="auto"/>
              </w:divBdr>
            </w:div>
          </w:divsChild>
        </w:div>
        <w:div w:id="264196160">
          <w:marLeft w:val="0"/>
          <w:marRight w:val="0"/>
          <w:marTop w:val="0"/>
          <w:marBottom w:val="0"/>
          <w:divBdr>
            <w:top w:val="none" w:sz="0" w:space="0" w:color="auto"/>
            <w:left w:val="none" w:sz="0" w:space="0" w:color="auto"/>
            <w:bottom w:val="none" w:sz="0" w:space="0" w:color="auto"/>
            <w:right w:val="none" w:sz="0" w:space="0" w:color="auto"/>
          </w:divBdr>
          <w:divsChild>
            <w:div w:id="1008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907">
      <w:bodyDiv w:val="1"/>
      <w:marLeft w:val="0"/>
      <w:marRight w:val="0"/>
      <w:marTop w:val="0"/>
      <w:marBottom w:val="0"/>
      <w:divBdr>
        <w:top w:val="none" w:sz="0" w:space="0" w:color="auto"/>
        <w:left w:val="none" w:sz="0" w:space="0" w:color="auto"/>
        <w:bottom w:val="none" w:sz="0" w:space="0" w:color="auto"/>
        <w:right w:val="none" w:sz="0" w:space="0" w:color="auto"/>
      </w:divBdr>
    </w:div>
    <w:div w:id="1200244708">
      <w:bodyDiv w:val="1"/>
      <w:marLeft w:val="0"/>
      <w:marRight w:val="0"/>
      <w:marTop w:val="0"/>
      <w:marBottom w:val="0"/>
      <w:divBdr>
        <w:top w:val="none" w:sz="0" w:space="0" w:color="auto"/>
        <w:left w:val="none" w:sz="0" w:space="0" w:color="auto"/>
        <w:bottom w:val="none" w:sz="0" w:space="0" w:color="auto"/>
        <w:right w:val="none" w:sz="0" w:space="0" w:color="auto"/>
      </w:divBdr>
    </w:div>
    <w:div w:id="1269703967">
      <w:bodyDiv w:val="1"/>
      <w:marLeft w:val="0"/>
      <w:marRight w:val="0"/>
      <w:marTop w:val="0"/>
      <w:marBottom w:val="0"/>
      <w:divBdr>
        <w:top w:val="none" w:sz="0" w:space="0" w:color="auto"/>
        <w:left w:val="none" w:sz="0" w:space="0" w:color="auto"/>
        <w:bottom w:val="none" w:sz="0" w:space="0" w:color="auto"/>
        <w:right w:val="none" w:sz="0" w:space="0" w:color="auto"/>
      </w:divBdr>
    </w:div>
    <w:div w:id="19439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unfccc.int/sites/ndcstaging/PublishedDocuments/Bolivia%20(Plurinational%20State%20of)%20First/Contribuci%C3%B3n%20Nacionalmente%20Determinada%20Actualizada%20del%20Estado%20Plurinacional%20de%20Bolivia.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66BCF-1FBD-4D1D-AF60-ED90C787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12</Pages>
  <Words>3931</Words>
  <Characters>21621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JC.Torrico</dc:creator>
  <cp:keywords/>
  <dc:description/>
  <cp:lastModifiedBy>Luis A. Munguia Eysele</cp:lastModifiedBy>
  <cp:revision>10</cp:revision>
  <dcterms:created xsi:type="dcterms:W3CDTF">2025-07-31T18:52:00Z</dcterms:created>
  <dcterms:modified xsi:type="dcterms:W3CDTF">2025-08-26T21:12:00Z</dcterms:modified>
</cp:coreProperties>
</file>