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Public Health GIS Project is designed to expose you to a project that's similar to what you might see in a professional setting.  The goal is for you to understand the workflow of a GIS project from start to finish.  You will have full control over the topic but it must be public health related.  </w:t>
      </w:r>
    </w:p>
    <w:p w:rsidR="00000000" w:rsidDel="00000000" w:rsidP="00000000" w:rsidRDefault="00000000" w:rsidRPr="00000000" w14:paraId="00000002">
      <w:pPr>
        <w:pageBreakBefore w:val="0"/>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The main goal of the project is for you to create maps of your own design using data you've collected/downloaded on your own.</w:t>
      </w:r>
    </w:p>
    <w:p w:rsidR="00000000" w:rsidDel="00000000" w:rsidP="00000000" w:rsidRDefault="00000000" w:rsidRPr="00000000" w14:paraId="00000003">
      <w:pPr>
        <w:pageBreakBefore w:val="0"/>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Your project must include these 5 elements. </w:t>
      </w:r>
    </w:p>
    <w:p w:rsidR="00000000" w:rsidDel="00000000" w:rsidP="00000000" w:rsidRDefault="00000000" w:rsidRPr="00000000" w14:paraId="00000004">
      <w:pPr>
        <w:pageBreakBefore w:val="0"/>
        <w:numPr>
          <w:ilvl w:val="0"/>
          <w:numId w:val="2"/>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Output Maps</w:t>
      </w:r>
      <w:r w:rsidDel="00000000" w:rsidR="00000000" w:rsidRPr="00000000">
        <w:rPr>
          <w:rFonts w:ascii="Lato" w:cs="Lato" w:eastAsia="Lato" w:hAnsi="Lato"/>
          <w:color w:val="2d3b45"/>
          <w:sz w:val="24"/>
          <w:szCs w:val="24"/>
          <w:rtl w:val="0"/>
        </w:rPr>
        <w:t xml:space="preserve"> - Quality of the final output map(s) as well as how well they help address the initial question. These should be presentation quality and leverage the skills and techniques you have learned in this class.</w:t>
      </w:r>
      <w:r w:rsidDel="00000000" w:rsidR="00000000" w:rsidRPr="00000000">
        <w:rPr>
          <w:rtl w:val="0"/>
        </w:rPr>
      </w:r>
    </w:p>
    <w:p w:rsidR="00000000" w:rsidDel="00000000" w:rsidP="00000000" w:rsidRDefault="00000000" w:rsidRPr="00000000" w14:paraId="00000005">
      <w:pPr>
        <w:pageBreakBefore w:val="0"/>
        <w:numPr>
          <w:ilvl w:val="1"/>
          <w:numId w:val="2"/>
        </w:numPr>
        <w:shd w:fill="ffffff" w:val="clear"/>
        <w:spacing w:after="0" w:afterAutospacing="0" w:lineRule="auto"/>
        <w:ind w:left="1440" w:hanging="360"/>
        <w:rPr>
          <w:rFonts w:ascii="Roboto" w:cs="Roboto" w:eastAsia="Roboto" w:hAnsi="Roboto"/>
          <w:color w:val="202124"/>
          <w:sz w:val="24"/>
          <w:szCs w:val="24"/>
          <w:highlight w:val="white"/>
          <w:u w:val="none"/>
        </w:rPr>
      </w:pPr>
      <w:hyperlink r:id="rId6">
        <w:r w:rsidDel="00000000" w:rsidR="00000000" w:rsidRPr="00000000">
          <w:rPr>
            <w:rFonts w:ascii="Roboto" w:cs="Roboto" w:eastAsia="Roboto" w:hAnsi="Roboto"/>
            <w:color w:val="1155cc"/>
            <w:sz w:val="24"/>
            <w:szCs w:val="24"/>
            <w:highlight w:val="white"/>
            <w:u w:val="single"/>
            <w:rtl w:val="0"/>
          </w:rPr>
          <w:t xml:space="preserve">https://arcg.is/PDiTG</w:t>
        </w:r>
      </w:hyperlink>
      <w:r w:rsidDel="00000000" w:rsidR="00000000" w:rsidRPr="00000000">
        <w:rPr>
          <w:rtl w:val="0"/>
        </w:rPr>
      </w:r>
    </w:p>
    <w:p w:rsidR="00000000" w:rsidDel="00000000" w:rsidP="00000000" w:rsidRDefault="00000000" w:rsidRPr="00000000" w14:paraId="00000006">
      <w:pPr>
        <w:pageBreakBefore w:val="0"/>
        <w:numPr>
          <w:ilvl w:val="0"/>
          <w:numId w:val="2"/>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Project statement</w:t>
      </w:r>
      <w:r w:rsidDel="00000000" w:rsidR="00000000" w:rsidRPr="00000000">
        <w:rPr>
          <w:rFonts w:ascii="Lato" w:cs="Lato" w:eastAsia="Lato" w:hAnsi="Lato"/>
          <w:color w:val="2d3b45"/>
          <w:sz w:val="24"/>
          <w:szCs w:val="24"/>
          <w:rtl w:val="0"/>
        </w:rPr>
        <w:t xml:space="preserve"> - Thesis/hypothesis/topic statement and examples (websites, journal articles, new stories, etc) of other work on this topic.</w:t>
      </w:r>
      <w:r w:rsidDel="00000000" w:rsidR="00000000" w:rsidRPr="00000000">
        <w:rPr>
          <w:rtl w:val="0"/>
        </w:rPr>
      </w:r>
    </w:p>
    <w:p w:rsidR="00000000" w:rsidDel="00000000" w:rsidP="00000000" w:rsidRDefault="00000000" w:rsidRPr="00000000" w14:paraId="00000007">
      <w:pPr>
        <w:pageBreakBefore w:val="0"/>
        <w:numPr>
          <w:ilvl w:val="1"/>
          <w:numId w:val="2"/>
        </w:numPr>
        <w:shd w:fill="ffffff" w:val="clear"/>
        <w:spacing w:after="0" w:afterAutospacing="0" w:lineRule="auto"/>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In areas with a higher Social Vulnerability Index, there is a higher amount of mental distress. </w:t>
      </w:r>
    </w:p>
    <w:p w:rsidR="00000000" w:rsidDel="00000000" w:rsidP="00000000" w:rsidRDefault="00000000" w:rsidRPr="00000000" w14:paraId="00000008">
      <w:pPr>
        <w:pageBreakBefore w:val="0"/>
        <w:numPr>
          <w:ilvl w:val="2"/>
          <w:numId w:val="2"/>
        </w:numPr>
        <w:shd w:fill="ffffff" w:val="clear"/>
        <w:spacing w:after="0" w:afterAutospacing="0" w:lineRule="auto"/>
        <w:ind w:left="2160" w:hanging="360"/>
        <w:rPr>
          <w:rFonts w:ascii="Roboto" w:cs="Roboto" w:eastAsia="Roboto" w:hAnsi="Roboto"/>
          <w:color w:val="202124"/>
          <w:sz w:val="24"/>
          <w:szCs w:val="24"/>
          <w:highlight w:val="white"/>
        </w:rPr>
      </w:pPr>
      <w:r w:rsidDel="00000000" w:rsidR="00000000" w:rsidRPr="00000000">
        <w:rPr>
          <w:rFonts w:ascii="Verdana" w:cs="Verdana" w:eastAsia="Verdana" w:hAnsi="Verdana"/>
          <w:color w:val="444444"/>
          <w:highlight w:val="white"/>
          <w:rtl w:val="0"/>
        </w:rPr>
        <w:t xml:space="preserve">With increases in poverty, crowded housing, lack of vehicle access, language barriers, minority status, and disabilities comes and increase in mental distress. </w:t>
      </w:r>
      <w:r w:rsidDel="00000000" w:rsidR="00000000" w:rsidRPr="00000000">
        <w:rPr>
          <w:rtl w:val="0"/>
        </w:rPr>
      </w:r>
    </w:p>
    <w:p w:rsidR="00000000" w:rsidDel="00000000" w:rsidP="00000000" w:rsidRDefault="00000000" w:rsidRPr="00000000" w14:paraId="00000009">
      <w:pPr>
        <w:pageBreakBefore w:val="0"/>
        <w:numPr>
          <w:ilvl w:val="0"/>
          <w:numId w:val="2"/>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Datasets</w:t>
      </w:r>
      <w:r w:rsidDel="00000000" w:rsidR="00000000" w:rsidRPr="00000000">
        <w:rPr>
          <w:rFonts w:ascii="Lato" w:cs="Lato" w:eastAsia="Lato" w:hAnsi="Lato"/>
          <w:color w:val="2d3b45"/>
          <w:sz w:val="24"/>
          <w:szCs w:val="24"/>
          <w:rtl w:val="0"/>
        </w:rPr>
        <w:t xml:space="preserve"> - Thorough explanation and description of the datasets you used (metadata).</w:t>
      </w:r>
    </w:p>
    <w:p w:rsidR="00000000" w:rsidDel="00000000" w:rsidP="00000000" w:rsidRDefault="00000000" w:rsidRPr="00000000" w14:paraId="0000000A">
      <w:pPr>
        <w:pageBreakBefore w:val="0"/>
        <w:numPr>
          <w:ilvl w:val="1"/>
          <w:numId w:val="2"/>
        </w:numPr>
        <w:shd w:fill="ffffff" w:val="clear"/>
        <w:spacing w:after="200" w:lineRule="auto"/>
        <w:ind w:left="1440" w:hanging="360"/>
        <w:rPr>
          <w:rFonts w:ascii="Lato" w:cs="Lato" w:eastAsia="Lato" w:hAnsi="Lato"/>
          <w:color w:val="2d3b45"/>
          <w:sz w:val="24"/>
          <w:szCs w:val="24"/>
          <w:u w:val="none"/>
        </w:rPr>
      </w:pPr>
      <w:r w:rsidDel="00000000" w:rsidR="00000000" w:rsidRPr="00000000">
        <w:rPr>
          <w:color w:val="4c4c4c"/>
          <w:sz w:val="24"/>
          <w:szCs w:val="24"/>
          <w:highlight w:val="white"/>
          <w:rtl w:val="0"/>
        </w:rPr>
        <w:t xml:space="preserve">This map provides model-based estimates of frequent mental distress prevalence among adults aged 18 years and older at county, place, census tract and ZCTA levels in the U.S., 2018. This web map is part of the Centers for Disease Control and Prevention (CDC) </w:t>
      </w:r>
      <w:hyperlink r:id="rId7">
        <w:r w:rsidDel="00000000" w:rsidR="00000000" w:rsidRPr="00000000">
          <w:rPr>
            <w:rFonts w:ascii="Lato" w:cs="Lato" w:eastAsia="Lato" w:hAnsi="Lato"/>
            <w:color w:val="0079c1"/>
            <w:sz w:val="24"/>
            <w:szCs w:val="24"/>
            <w:highlight w:val="white"/>
            <w:rtl w:val="0"/>
          </w:rPr>
          <w:t xml:space="preserve">PLACES Project</w:t>
        </w:r>
      </w:hyperlink>
      <w:r w:rsidDel="00000000" w:rsidR="00000000" w:rsidRPr="00000000">
        <w:rPr>
          <w:color w:val="4c4c4c"/>
          <w:sz w:val="24"/>
          <w:szCs w:val="24"/>
          <w:highlight w:val="white"/>
          <w:rtl w:val="0"/>
        </w:rPr>
        <w:t xml:space="preserve">. It provides model-based estimates of frequent mental distress (mental health not good for &gt;=14 days) prevalence among adults aged 18 years and older at county, place, census tract and ZCTA levels in the United States. The PLACES Project is an expansion of the original 500 Cities Project and a collaboration between the </w:t>
      </w:r>
      <w:hyperlink r:id="rId8">
        <w:r w:rsidDel="00000000" w:rsidR="00000000" w:rsidRPr="00000000">
          <w:rPr>
            <w:rFonts w:ascii="Lato" w:cs="Lato" w:eastAsia="Lato" w:hAnsi="Lato"/>
            <w:color w:val="0079c1"/>
            <w:sz w:val="24"/>
            <w:szCs w:val="24"/>
            <w:highlight w:val="white"/>
            <w:rtl w:val="0"/>
          </w:rPr>
          <w:t xml:space="preserve">CDC</w:t>
        </w:r>
      </w:hyperlink>
      <w:r w:rsidDel="00000000" w:rsidR="00000000" w:rsidRPr="00000000">
        <w:rPr>
          <w:color w:val="4c4c4c"/>
          <w:sz w:val="24"/>
          <w:szCs w:val="24"/>
          <w:highlight w:val="white"/>
          <w:rtl w:val="0"/>
        </w:rPr>
        <w:t xml:space="preserve">, the </w:t>
      </w:r>
      <w:hyperlink r:id="rId9">
        <w:r w:rsidDel="00000000" w:rsidR="00000000" w:rsidRPr="00000000">
          <w:rPr>
            <w:rFonts w:ascii="Lato" w:cs="Lato" w:eastAsia="Lato" w:hAnsi="Lato"/>
            <w:color w:val="0079c1"/>
            <w:sz w:val="24"/>
            <w:szCs w:val="24"/>
            <w:highlight w:val="white"/>
            <w:rtl w:val="0"/>
          </w:rPr>
          <w:t xml:space="preserve">Robert Wood Johnson Foundation</w:t>
        </w:r>
      </w:hyperlink>
      <w:r w:rsidDel="00000000" w:rsidR="00000000" w:rsidRPr="00000000">
        <w:rPr>
          <w:color w:val="4c4c4c"/>
          <w:sz w:val="24"/>
          <w:szCs w:val="24"/>
          <w:highlight w:val="white"/>
          <w:rtl w:val="0"/>
        </w:rPr>
        <w:t xml:space="preserve">, and the </w:t>
      </w:r>
      <w:hyperlink r:id="rId10">
        <w:r w:rsidDel="00000000" w:rsidR="00000000" w:rsidRPr="00000000">
          <w:rPr>
            <w:rFonts w:ascii="Lato" w:cs="Lato" w:eastAsia="Lato" w:hAnsi="Lato"/>
            <w:color w:val="0079c1"/>
            <w:sz w:val="24"/>
            <w:szCs w:val="24"/>
            <w:highlight w:val="white"/>
            <w:rtl w:val="0"/>
          </w:rPr>
          <w:t xml:space="preserve">CDC Foundation</w:t>
        </w:r>
      </w:hyperlink>
      <w:r w:rsidDel="00000000" w:rsidR="00000000" w:rsidRPr="00000000">
        <w:rPr>
          <w:color w:val="4c4c4c"/>
          <w:sz w:val="24"/>
          <w:szCs w:val="24"/>
          <w:highlight w:val="white"/>
          <w:rtl w:val="0"/>
        </w:rPr>
        <w:t xml:space="preserve">. </w:t>
      </w:r>
    </w:p>
    <w:p w:rsidR="00000000" w:rsidDel="00000000" w:rsidP="00000000" w:rsidRDefault="00000000" w:rsidRPr="00000000" w14:paraId="0000000B">
      <w:pPr>
        <w:pageBreakBefore w:val="0"/>
        <w:shd w:fill="ffffff" w:val="clear"/>
        <w:spacing w:after="200" w:lineRule="auto"/>
        <w:ind w:left="0" w:firstLine="0"/>
        <w:rPr>
          <w:color w:val="4c4c4c"/>
          <w:sz w:val="24"/>
          <w:szCs w:val="24"/>
          <w:highlight w:val="white"/>
        </w:rPr>
      </w:pPr>
      <w:r w:rsidDel="00000000" w:rsidR="00000000" w:rsidRPr="00000000">
        <w:rPr>
          <w:color w:val="4c4c4c"/>
          <w:sz w:val="24"/>
          <w:szCs w:val="24"/>
          <w:highlight w:val="white"/>
          <w:rtl w:val="0"/>
        </w:rPr>
        <w:t xml:space="preserve">PLACES: Local Data for Better Health --- This service provides Centers for Disease Control and Prevention (CDC) model-based estimates for 27 chronic disease related measures at county, place, census tract and ZCTA levels . The PLACES (</w:t>
      </w:r>
      <w:r w:rsidDel="00000000" w:rsidR="00000000" w:rsidRPr="00000000">
        <w:rPr>
          <w:b w:val="1"/>
          <w:color w:val="4c4c4c"/>
          <w:sz w:val="24"/>
          <w:szCs w:val="24"/>
          <w:highlight w:val="white"/>
          <w:rtl w:val="0"/>
        </w:rPr>
        <w:t xml:space="preserve">P</w:t>
      </w:r>
      <w:r w:rsidDel="00000000" w:rsidR="00000000" w:rsidRPr="00000000">
        <w:rPr>
          <w:color w:val="4c4c4c"/>
          <w:sz w:val="24"/>
          <w:szCs w:val="24"/>
          <w:highlight w:val="white"/>
          <w:rtl w:val="0"/>
        </w:rPr>
        <w:t xml:space="preserve">opulation </w:t>
      </w:r>
      <w:r w:rsidDel="00000000" w:rsidR="00000000" w:rsidRPr="00000000">
        <w:rPr>
          <w:b w:val="1"/>
          <w:color w:val="4c4c4c"/>
          <w:sz w:val="24"/>
          <w:szCs w:val="24"/>
          <w:highlight w:val="white"/>
          <w:rtl w:val="0"/>
        </w:rPr>
        <w:t xml:space="preserve">L</w:t>
      </w:r>
      <w:r w:rsidDel="00000000" w:rsidR="00000000" w:rsidRPr="00000000">
        <w:rPr>
          <w:color w:val="4c4c4c"/>
          <w:sz w:val="24"/>
          <w:szCs w:val="24"/>
          <w:highlight w:val="white"/>
          <w:rtl w:val="0"/>
        </w:rPr>
        <w:t xml:space="preserve">evel </w:t>
      </w:r>
      <w:r w:rsidDel="00000000" w:rsidR="00000000" w:rsidRPr="00000000">
        <w:rPr>
          <w:b w:val="1"/>
          <w:color w:val="4c4c4c"/>
          <w:sz w:val="24"/>
          <w:szCs w:val="24"/>
          <w:highlight w:val="white"/>
          <w:rtl w:val="0"/>
        </w:rPr>
        <w:t xml:space="preserve">A</w:t>
      </w:r>
      <w:r w:rsidDel="00000000" w:rsidR="00000000" w:rsidRPr="00000000">
        <w:rPr>
          <w:color w:val="4c4c4c"/>
          <w:sz w:val="24"/>
          <w:szCs w:val="24"/>
          <w:highlight w:val="white"/>
          <w:rtl w:val="0"/>
        </w:rPr>
        <w:t xml:space="preserve">nalysis and </w:t>
      </w:r>
      <w:r w:rsidDel="00000000" w:rsidR="00000000" w:rsidRPr="00000000">
        <w:rPr>
          <w:b w:val="1"/>
          <w:color w:val="4c4c4c"/>
          <w:sz w:val="24"/>
          <w:szCs w:val="24"/>
          <w:highlight w:val="white"/>
          <w:rtl w:val="0"/>
        </w:rPr>
        <w:t xml:space="preserve">C</w:t>
      </w:r>
      <w:r w:rsidDel="00000000" w:rsidR="00000000" w:rsidRPr="00000000">
        <w:rPr>
          <w:color w:val="4c4c4c"/>
          <w:sz w:val="24"/>
          <w:szCs w:val="24"/>
          <w:highlight w:val="white"/>
          <w:rtl w:val="0"/>
        </w:rPr>
        <w:t xml:space="preserve">ommunity </w:t>
      </w:r>
      <w:r w:rsidDel="00000000" w:rsidR="00000000" w:rsidRPr="00000000">
        <w:rPr>
          <w:b w:val="1"/>
          <w:color w:val="4c4c4c"/>
          <w:sz w:val="24"/>
          <w:szCs w:val="24"/>
          <w:highlight w:val="white"/>
          <w:rtl w:val="0"/>
        </w:rPr>
        <w:t xml:space="preserve">E</w:t>
      </w:r>
      <w:r w:rsidDel="00000000" w:rsidR="00000000" w:rsidRPr="00000000">
        <w:rPr>
          <w:color w:val="4c4c4c"/>
          <w:sz w:val="24"/>
          <w:szCs w:val="24"/>
          <w:highlight w:val="white"/>
          <w:rtl w:val="0"/>
        </w:rPr>
        <w:t xml:space="preserve">stimates) is an expansion of the original 500 Cities project and is a collaboration between the </w:t>
      </w:r>
      <w:hyperlink r:id="rId11">
        <w:r w:rsidDel="00000000" w:rsidR="00000000" w:rsidRPr="00000000">
          <w:rPr>
            <w:color w:val="0079c1"/>
            <w:sz w:val="24"/>
            <w:szCs w:val="24"/>
            <w:highlight w:val="white"/>
            <w:rtl w:val="0"/>
          </w:rPr>
          <w:t xml:space="preserve">CDC</w:t>
        </w:r>
      </w:hyperlink>
      <w:r w:rsidDel="00000000" w:rsidR="00000000" w:rsidRPr="00000000">
        <w:rPr>
          <w:color w:val="4c4c4c"/>
          <w:sz w:val="24"/>
          <w:szCs w:val="24"/>
          <w:highlight w:val="white"/>
          <w:rtl w:val="0"/>
        </w:rPr>
        <w:t xml:space="preserve">, the </w:t>
      </w:r>
      <w:hyperlink r:id="rId12">
        <w:r w:rsidDel="00000000" w:rsidR="00000000" w:rsidRPr="00000000">
          <w:rPr>
            <w:color w:val="0079c1"/>
            <w:sz w:val="24"/>
            <w:szCs w:val="24"/>
            <w:highlight w:val="white"/>
            <w:rtl w:val="0"/>
          </w:rPr>
          <w:t xml:space="preserve">Robert Wood Johnson Foundation (RWJF)</w:t>
        </w:r>
      </w:hyperlink>
      <w:r w:rsidDel="00000000" w:rsidR="00000000" w:rsidRPr="00000000">
        <w:rPr>
          <w:color w:val="4c4c4c"/>
          <w:sz w:val="24"/>
          <w:szCs w:val="24"/>
          <w:highlight w:val="white"/>
          <w:rtl w:val="0"/>
        </w:rPr>
        <w:t xml:space="preserve">, and the </w:t>
      </w:r>
      <w:hyperlink r:id="rId13">
        <w:r w:rsidDel="00000000" w:rsidR="00000000" w:rsidRPr="00000000">
          <w:rPr>
            <w:color w:val="0079c1"/>
            <w:sz w:val="24"/>
            <w:szCs w:val="24"/>
            <w:highlight w:val="white"/>
            <w:rtl w:val="0"/>
          </w:rPr>
          <w:t xml:space="preserve">CDC Foundation (CDCF)</w:t>
        </w:r>
      </w:hyperlink>
      <w:r w:rsidDel="00000000" w:rsidR="00000000" w:rsidRPr="00000000">
        <w:rPr>
          <w:color w:val="4c4c4c"/>
          <w:sz w:val="24"/>
          <w:szCs w:val="24"/>
          <w:highlight w:val="white"/>
          <w:rtl w:val="0"/>
        </w:rPr>
        <w:t xml:space="preserve">. The original 500 Cities Project provided city- and census tract-level estimates for chronic disease risk factors (5), health outcomes (13), and clinical preventive services use (9) for the 500 largest US cities. The PLACES Project extends these estimates to all counties, places (incorporated and census designated places), census tracts and ZIP Code Tabulation Areas (ZCTA) across the United States. Data were provided by the Centers for Disease Control and Prevention (CDC), Division of Population Health, Epidemiology and Surveillance Branch. Data sources used to generate these measures include BRFSS data (2018 or 2017), Census Bureau 2010 census population data or annual population estimates for county vintage 2018 or 2017, and American Community Survey (ACS) 2014-2018 or 2013-2017 estimates.</w:t>
      </w:r>
    </w:p>
    <w:p w:rsidR="00000000" w:rsidDel="00000000" w:rsidP="00000000" w:rsidRDefault="00000000" w:rsidRPr="00000000" w14:paraId="0000000C">
      <w:pPr>
        <w:pageBreakBefore w:val="0"/>
        <w:shd w:fill="ffffff" w:val="clear"/>
        <w:spacing w:after="200" w:lineRule="auto"/>
        <w:ind w:left="0" w:firstLine="0"/>
        <w:rPr>
          <w:color w:val="4c4c4c"/>
          <w:sz w:val="24"/>
          <w:szCs w:val="24"/>
          <w:highlight w:val="white"/>
        </w:rPr>
      </w:pPr>
      <w:r w:rsidDel="00000000" w:rsidR="00000000" w:rsidRPr="00000000">
        <w:rPr>
          <w:color w:val="4c4c4c"/>
          <w:sz w:val="24"/>
          <w:szCs w:val="24"/>
          <w:highlight w:val="white"/>
          <w:rtl w:val="0"/>
        </w:rPr>
        <w:t xml:space="preserve">The health outcomes include arthritis, current asthma, high blood pressure, cancer (excluding skin cancer), high cholesterol, chronic kidney disease, chronic obstructive pulmonary disease (COPD), coronary heart disease, diagnosed diabetes, mental health not good for &gt;=14 days, physical health not good for &gt;=14 days, all teeth lost and stroke.</w:t>
      </w:r>
    </w:p>
    <w:p w:rsidR="00000000" w:rsidDel="00000000" w:rsidP="00000000" w:rsidRDefault="00000000" w:rsidRPr="00000000" w14:paraId="0000000D">
      <w:pPr>
        <w:pageBreakBefore w:val="0"/>
        <w:shd w:fill="ffffff" w:val="clear"/>
        <w:spacing w:after="200" w:lineRule="auto"/>
        <w:ind w:left="0" w:firstLine="0"/>
        <w:rPr>
          <w:color w:val="4c4c4c"/>
          <w:sz w:val="24"/>
          <w:szCs w:val="24"/>
          <w:highlight w:val="white"/>
        </w:rPr>
      </w:pPr>
      <w:r w:rsidDel="00000000" w:rsidR="00000000" w:rsidRPr="00000000">
        <w:rPr>
          <w:color w:val="4c4c4c"/>
          <w:sz w:val="24"/>
          <w:szCs w:val="24"/>
          <w:highlight w:val="white"/>
          <w:rtl w:val="0"/>
        </w:rPr>
        <w:t xml:space="preserve">The preventive services uses include lack of health insurance, visits to doctor for routine checkup, visits to dentist, taking medicine for high blood pressure control, cholesterol screening, mammography use for women,  cervical cancer screening for women, colon cancer screening, and core preventive services use for older adults (men and women)</w:t>
      </w:r>
    </w:p>
    <w:p w:rsidR="00000000" w:rsidDel="00000000" w:rsidP="00000000" w:rsidRDefault="00000000" w:rsidRPr="00000000" w14:paraId="0000000E">
      <w:pPr>
        <w:pageBreakBefore w:val="0"/>
        <w:shd w:fill="ffffff" w:val="clear"/>
        <w:spacing w:after="200" w:lineRule="auto"/>
        <w:ind w:left="0" w:firstLine="0"/>
        <w:rPr>
          <w:color w:val="4c4c4c"/>
          <w:sz w:val="24"/>
          <w:szCs w:val="24"/>
          <w:highlight w:val="white"/>
        </w:rPr>
      </w:pPr>
      <w:r w:rsidDel="00000000" w:rsidR="00000000" w:rsidRPr="00000000">
        <w:rPr>
          <w:color w:val="4c4c4c"/>
          <w:sz w:val="24"/>
          <w:szCs w:val="24"/>
          <w:highlight w:val="white"/>
          <w:rtl w:val="0"/>
        </w:rPr>
        <w:t xml:space="preserve">The unhealthy behaviors include binge drinking, current smoking, obesity, physical inactivity, and sleeping less than 7 hours.</w:t>
      </w:r>
    </w:p>
    <w:p w:rsidR="00000000" w:rsidDel="00000000" w:rsidP="00000000" w:rsidRDefault="00000000" w:rsidRPr="00000000" w14:paraId="0000000F">
      <w:pPr>
        <w:pageBreakBefore w:val="0"/>
        <w:numPr>
          <w:ilvl w:val="1"/>
          <w:numId w:val="2"/>
        </w:numPr>
        <w:shd w:fill="ffffff" w:val="clear"/>
        <w:spacing w:after="180" w:lineRule="auto"/>
        <w:ind w:left="1440" w:hanging="360"/>
        <w:rPr>
          <w:color w:val="4c4c4c"/>
          <w:sz w:val="24"/>
          <w:szCs w:val="24"/>
          <w:highlight w:val="white"/>
        </w:rPr>
      </w:pPr>
      <w:r w:rsidDel="00000000" w:rsidR="00000000" w:rsidRPr="00000000">
        <w:rPr>
          <w:color w:val="4c4c4c"/>
          <w:sz w:val="24"/>
          <w:szCs w:val="24"/>
          <w:highlight w:val="white"/>
          <w:rtl w:val="0"/>
        </w:rPr>
        <w:t xml:space="preserve">2018 Social Vulnerability Index (SVI). Created by the Centers for Disease Control and Prevention (CDC) / Agency for Toxic Substances and Disease Registry (ATSDR) / Geospatial Research, Analysis, and Services Program (GRASP).</w:t>
      </w:r>
    </w:p>
    <w:p w:rsidR="00000000" w:rsidDel="00000000" w:rsidP="00000000" w:rsidRDefault="00000000" w:rsidRPr="00000000" w14:paraId="00000010">
      <w:pPr>
        <w:pageBreakBefore w:val="0"/>
        <w:shd w:fill="ffffff" w:val="clear"/>
        <w:spacing w:after="220" w:before="300" w:line="360" w:lineRule="auto"/>
        <w:ind w:left="0" w:firstLine="0"/>
        <w:rPr>
          <w:b w:val="1"/>
          <w:color w:val="4c4c4c"/>
          <w:sz w:val="24"/>
          <w:szCs w:val="24"/>
          <w:highlight w:val="white"/>
        </w:rPr>
      </w:pPr>
      <w:r w:rsidDel="00000000" w:rsidR="00000000" w:rsidRPr="00000000">
        <w:rPr>
          <w:b w:val="1"/>
          <w:color w:val="4c4c4c"/>
          <w:sz w:val="24"/>
          <w:szCs w:val="24"/>
          <w:highlight w:val="white"/>
          <w:rtl w:val="0"/>
        </w:rPr>
        <w:t xml:space="preserve">This feature layer visualizes the 2018 overall SVI for U.S. counties and tracts</w:t>
      </w:r>
    </w:p>
    <w:p w:rsidR="00000000" w:rsidDel="00000000" w:rsidP="00000000" w:rsidRDefault="00000000" w:rsidRPr="00000000" w14:paraId="00000011">
      <w:pPr>
        <w:pageBreakBefore w:val="0"/>
        <w:shd w:fill="ffffff" w:val="clear"/>
        <w:spacing w:after="220" w:before="300" w:line="360" w:lineRule="auto"/>
        <w:ind w:left="0" w:firstLine="0"/>
        <w:rPr>
          <w:b w:val="1"/>
          <w:color w:val="4c4c4c"/>
          <w:sz w:val="24"/>
          <w:szCs w:val="24"/>
          <w:highlight w:val="white"/>
        </w:rPr>
      </w:pPr>
      <w:r w:rsidDel="00000000" w:rsidR="00000000" w:rsidRPr="00000000">
        <w:rPr>
          <w:b w:val="1"/>
          <w:color w:val="4c4c4c"/>
          <w:sz w:val="24"/>
          <w:szCs w:val="24"/>
          <w:highlight w:val="white"/>
          <w:rtl w:val="0"/>
        </w:rPr>
        <w:t xml:space="preserve">Social Vulnerability Index (SVI) indicates the relative vulnerability of every U.S. county and tract</w:t>
      </w:r>
    </w:p>
    <w:p w:rsidR="00000000" w:rsidDel="00000000" w:rsidP="00000000" w:rsidRDefault="00000000" w:rsidRPr="00000000" w14:paraId="00000012">
      <w:pPr>
        <w:pageBreakBefore w:val="0"/>
        <w:shd w:fill="ffffff" w:val="clear"/>
        <w:spacing w:after="220" w:before="300" w:line="360" w:lineRule="auto"/>
        <w:ind w:left="0" w:firstLine="0"/>
        <w:rPr>
          <w:b w:val="1"/>
          <w:color w:val="4c4c4c"/>
          <w:sz w:val="24"/>
          <w:szCs w:val="24"/>
          <w:highlight w:val="white"/>
        </w:rPr>
      </w:pPr>
      <w:r w:rsidDel="00000000" w:rsidR="00000000" w:rsidRPr="00000000">
        <w:rPr>
          <w:b w:val="1"/>
          <w:color w:val="4c4c4c"/>
          <w:sz w:val="24"/>
          <w:szCs w:val="24"/>
          <w:highlight w:val="white"/>
          <w:rtl w:val="0"/>
        </w:rPr>
        <w:t xml:space="preserve">15 social factors grouped into four major themes</w:t>
      </w:r>
    </w:p>
    <w:p w:rsidR="00000000" w:rsidDel="00000000" w:rsidP="00000000" w:rsidRDefault="00000000" w:rsidRPr="00000000" w14:paraId="00000013">
      <w:pPr>
        <w:pageBreakBefore w:val="0"/>
        <w:shd w:fill="ffffff" w:val="clear"/>
        <w:spacing w:after="220" w:before="300" w:line="360" w:lineRule="auto"/>
        <w:ind w:left="0" w:firstLine="0"/>
        <w:rPr>
          <w:b w:val="1"/>
          <w:color w:val="4c4c4c"/>
          <w:sz w:val="24"/>
          <w:szCs w:val="24"/>
          <w:highlight w:val="white"/>
        </w:rPr>
      </w:pPr>
      <w:r w:rsidDel="00000000" w:rsidR="00000000" w:rsidRPr="00000000">
        <w:rPr>
          <w:b w:val="1"/>
          <w:color w:val="4c4c4c"/>
          <w:sz w:val="24"/>
          <w:szCs w:val="24"/>
          <w:highlight w:val="white"/>
          <w:rtl w:val="0"/>
        </w:rPr>
        <w:t xml:space="preserve">Index value calculated for each county for the 15 social factors, four major themes, and the overall rank</w:t>
      </w:r>
    </w:p>
    <w:p w:rsidR="00000000" w:rsidDel="00000000" w:rsidP="00000000" w:rsidRDefault="00000000" w:rsidRPr="00000000" w14:paraId="00000014">
      <w:pPr>
        <w:pageBreakBefore w:val="0"/>
        <w:shd w:fill="ffffff" w:val="clear"/>
        <w:spacing w:after="200" w:lineRule="auto"/>
        <w:rPr>
          <w:rFonts w:ascii="Verdana" w:cs="Verdana" w:eastAsia="Verdana" w:hAnsi="Verdana"/>
          <w:b w:val="1"/>
          <w:color w:val="444444"/>
          <w:sz w:val="28"/>
          <w:szCs w:val="28"/>
          <w:highlight w:val="white"/>
        </w:rPr>
      </w:pPr>
      <w:r w:rsidDel="00000000" w:rsidR="00000000" w:rsidRPr="00000000">
        <w:rPr>
          <w:rFonts w:ascii="Verdana" w:cs="Verdana" w:eastAsia="Verdana" w:hAnsi="Verdana"/>
          <w:b w:val="1"/>
          <w:color w:val="444444"/>
          <w:sz w:val="28"/>
          <w:szCs w:val="28"/>
          <w:highlight w:val="white"/>
          <w:rtl w:val="0"/>
        </w:rPr>
        <w:t xml:space="preserve">What is CDC Social Vulnerability Index?</w:t>
      </w:r>
    </w:p>
    <w:p w:rsidR="00000000" w:rsidDel="00000000" w:rsidP="00000000" w:rsidRDefault="00000000" w:rsidRPr="00000000" w14:paraId="00000015">
      <w:pPr>
        <w:pageBreakBefore w:val="0"/>
        <w:shd w:fill="ffffff" w:val="clear"/>
        <w:spacing w:after="200" w:lineRule="auto"/>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ATSDR’s Geospatial Research, Analysis &amp; Services Program (GRASP) has created a tool to help emergency response planners and public health officials identify and map the communities that will most likely need support before, during, and after a hazardous event.</w:t>
      </w:r>
    </w:p>
    <w:p w:rsidR="00000000" w:rsidDel="00000000" w:rsidP="00000000" w:rsidRDefault="00000000" w:rsidRPr="00000000" w14:paraId="00000016">
      <w:pPr>
        <w:pageBreakBefore w:val="0"/>
        <w:shd w:fill="ffffff" w:val="clear"/>
        <w:spacing w:after="200" w:lineRule="auto"/>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7">
      <w:pPr>
        <w:pageBreakBefore w:val="0"/>
        <w:shd w:fill="ffffff" w:val="clear"/>
        <w:spacing w:after="200" w:lineRule="auto"/>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The Social Vulnerability Index (SVI) uses U.S. Census data to determine the social vulnerability of every county and tract. CDC SVI ranks each county and tract on 15 social factors, including poverty, lack of vehicle access, and crowded housing, and groups them into four related themes:</w:t>
      </w:r>
    </w:p>
    <w:p w:rsidR="00000000" w:rsidDel="00000000" w:rsidP="00000000" w:rsidRDefault="00000000" w:rsidRPr="00000000" w14:paraId="00000018">
      <w:pPr>
        <w:pageBreakBefore w:val="0"/>
        <w:numPr>
          <w:ilvl w:val="0"/>
          <w:numId w:val="1"/>
        </w:numPr>
        <w:shd w:fill="ffffff" w:val="clear"/>
        <w:spacing w:after="0" w:afterAutospacing="0" w:before="300" w:line="360" w:lineRule="auto"/>
        <w:ind w:left="720" w:hanging="360"/>
        <w:rPr>
          <w:highlight w:val="white"/>
        </w:rPr>
      </w:pPr>
      <w:r w:rsidDel="00000000" w:rsidR="00000000" w:rsidRPr="00000000">
        <w:rPr>
          <w:color w:val="444444"/>
          <w:highlight w:val="white"/>
          <w:rtl w:val="0"/>
        </w:rPr>
        <w:t xml:space="preserve">Socioeconomic</w:t>
      </w:r>
    </w:p>
    <w:p w:rsidR="00000000" w:rsidDel="00000000" w:rsidP="00000000" w:rsidRDefault="00000000" w:rsidRPr="00000000" w14:paraId="00000019">
      <w:pPr>
        <w:pageBreakBefore w:val="0"/>
        <w:numPr>
          <w:ilvl w:val="0"/>
          <w:numId w:val="1"/>
        </w:numPr>
        <w:shd w:fill="ffffff" w:val="clear"/>
        <w:spacing w:after="0" w:afterAutospacing="0" w:before="0" w:beforeAutospacing="0" w:line="360" w:lineRule="auto"/>
        <w:ind w:left="720" w:hanging="360"/>
        <w:rPr>
          <w:highlight w:val="white"/>
        </w:rPr>
      </w:pPr>
      <w:r w:rsidDel="00000000" w:rsidR="00000000" w:rsidRPr="00000000">
        <w:rPr>
          <w:color w:val="444444"/>
          <w:highlight w:val="white"/>
          <w:rtl w:val="0"/>
        </w:rPr>
        <w:t xml:space="preserve">Housing Composition and Disability</w:t>
      </w:r>
    </w:p>
    <w:p w:rsidR="00000000" w:rsidDel="00000000" w:rsidP="00000000" w:rsidRDefault="00000000" w:rsidRPr="00000000" w14:paraId="0000001A">
      <w:pPr>
        <w:pageBreakBefore w:val="0"/>
        <w:numPr>
          <w:ilvl w:val="0"/>
          <w:numId w:val="1"/>
        </w:numPr>
        <w:shd w:fill="ffffff" w:val="clear"/>
        <w:spacing w:after="0" w:afterAutospacing="0" w:before="0" w:beforeAutospacing="0" w:line="360" w:lineRule="auto"/>
        <w:ind w:left="720" w:hanging="360"/>
        <w:rPr>
          <w:highlight w:val="white"/>
        </w:rPr>
      </w:pPr>
      <w:r w:rsidDel="00000000" w:rsidR="00000000" w:rsidRPr="00000000">
        <w:rPr>
          <w:color w:val="444444"/>
          <w:highlight w:val="white"/>
          <w:rtl w:val="0"/>
        </w:rPr>
        <w:t xml:space="preserve">Minority Status and Language</w:t>
      </w:r>
    </w:p>
    <w:p w:rsidR="00000000" w:rsidDel="00000000" w:rsidP="00000000" w:rsidRDefault="00000000" w:rsidRPr="00000000" w14:paraId="0000001B">
      <w:pPr>
        <w:pageBreakBefore w:val="0"/>
        <w:numPr>
          <w:ilvl w:val="0"/>
          <w:numId w:val="1"/>
        </w:numPr>
        <w:shd w:fill="ffffff" w:val="clear"/>
        <w:spacing w:after="220" w:before="0" w:beforeAutospacing="0" w:line="360" w:lineRule="auto"/>
        <w:ind w:left="720" w:hanging="360"/>
        <w:rPr>
          <w:highlight w:val="white"/>
        </w:rPr>
      </w:pPr>
      <w:r w:rsidDel="00000000" w:rsidR="00000000" w:rsidRPr="00000000">
        <w:rPr>
          <w:color w:val="444444"/>
          <w:highlight w:val="white"/>
          <w:rtl w:val="0"/>
        </w:rPr>
        <w:t xml:space="preserve">Housing and Transportation</w:t>
      </w:r>
      <w:r w:rsidDel="00000000" w:rsidR="00000000" w:rsidRPr="00000000">
        <w:rPr>
          <w:color w:val="4c4c4c"/>
          <w:sz w:val="24"/>
          <w:szCs w:val="24"/>
          <w:highlight w:val="white"/>
          <w:rtl w:val="0"/>
        </w:rPr>
        <w:t xml:space="preserve"> </w:t>
      </w:r>
    </w:p>
    <w:p w:rsidR="00000000" w:rsidDel="00000000" w:rsidP="00000000" w:rsidRDefault="00000000" w:rsidRPr="00000000" w14:paraId="0000001C">
      <w:pPr>
        <w:pageBreakBefore w:val="0"/>
        <w:shd w:fill="ffffff" w:val="clear"/>
        <w:spacing w:after="200" w:lineRule="auto"/>
        <w:rPr>
          <w:rFonts w:ascii="Verdana" w:cs="Verdana" w:eastAsia="Verdana" w:hAnsi="Verdana"/>
          <w:b w:val="1"/>
          <w:color w:val="444444"/>
          <w:sz w:val="36"/>
          <w:szCs w:val="36"/>
          <w:highlight w:val="white"/>
        </w:rPr>
      </w:pPr>
      <w:r w:rsidDel="00000000" w:rsidR="00000000" w:rsidRPr="00000000">
        <w:rPr>
          <w:rFonts w:ascii="Verdana" w:cs="Verdana" w:eastAsia="Verdana" w:hAnsi="Verdana"/>
          <w:b w:val="1"/>
          <w:color w:val="444444"/>
          <w:sz w:val="36"/>
          <w:szCs w:val="36"/>
          <w:highlight w:val="white"/>
          <w:rtl w:val="0"/>
        </w:rPr>
        <w:t xml:space="preserve">Variables</w:t>
      </w:r>
    </w:p>
    <w:p w:rsidR="00000000" w:rsidDel="00000000" w:rsidP="00000000" w:rsidRDefault="00000000" w:rsidRPr="00000000" w14:paraId="0000001D">
      <w:pPr>
        <w:pageBreakBefore w:val="0"/>
        <w:shd w:fill="ffffff" w:val="clear"/>
        <w:spacing w:after="200" w:lineRule="auto"/>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For a detailed description of variable uses, please refer to the </w:t>
      </w:r>
      <w:hyperlink r:id="rId14">
        <w:r w:rsidDel="00000000" w:rsidR="00000000" w:rsidRPr="00000000">
          <w:rPr>
            <w:rFonts w:ascii="Verdana" w:cs="Verdana" w:eastAsia="Verdana" w:hAnsi="Verdana"/>
            <w:color w:val="0079c1"/>
            <w:sz w:val="24"/>
            <w:szCs w:val="24"/>
            <w:highlight w:val="white"/>
            <w:rtl w:val="0"/>
          </w:rPr>
          <w:t xml:space="preserve">full SVI 2018 documentation</w:t>
        </w:r>
      </w:hyperlink>
      <w:r w:rsidDel="00000000" w:rsidR="00000000" w:rsidRPr="00000000">
        <w:rPr>
          <w:rFonts w:ascii="Verdana" w:cs="Verdana" w:eastAsia="Verdana" w:hAnsi="Verdana"/>
          <w:color w:val="444444"/>
          <w:highlight w:val="white"/>
          <w:rtl w:val="0"/>
        </w:rPr>
        <w:t xml:space="preserve">.</w:t>
      </w:r>
    </w:p>
    <w:p w:rsidR="00000000" w:rsidDel="00000000" w:rsidP="00000000" w:rsidRDefault="00000000" w:rsidRPr="00000000" w14:paraId="0000001E">
      <w:pPr>
        <w:pageBreakBefore w:val="0"/>
        <w:shd w:fill="ffffff" w:val="clear"/>
        <w:spacing w:after="200" w:lineRule="auto"/>
        <w:rPr>
          <w:rFonts w:ascii="Verdana" w:cs="Verdana" w:eastAsia="Verdana" w:hAnsi="Verdana"/>
          <w:color w:val="444444"/>
          <w:highlight w:val="white"/>
        </w:rPr>
      </w:pPr>
      <w:r w:rsidDel="00000000" w:rsidR="00000000" w:rsidRPr="00000000">
        <w:rPr>
          <w:rtl w:val="0"/>
        </w:rPr>
      </w:r>
    </w:p>
    <w:p w:rsidR="00000000" w:rsidDel="00000000" w:rsidP="00000000" w:rsidRDefault="00000000" w:rsidRPr="00000000" w14:paraId="0000001F">
      <w:pPr>
        <w:pageBreakBefore w:val="0"/>
        <w:shd w:fill="ffffff" w:val="clear"/>
        <w:spacing w:after="200" w:lineRule="auto"/>
        <w:rPr>
          <w:rFonts w:ascii="Verdana" w:cs="Verdana" w:eastAsia="Verdana" w:hAnsi="Verdana"/>
          <w:b w:val="1"/>
          <w:color w:val="444444"/>
          <w:sz w:val="36"/>
          <w:szCs w:val="36"/>
          <w:highlight w:val="white"/>
        </w:rPr>
      </w:pPr>
      <w:r w:rsidDel="00000000" w:rsidR="00000000" w:rsidRPr="00000000">
        <w:rPr>
          <w:rFonts w:ascii="Verdana" w:cs="Verdana" w:eastAsia="Verdana" w:hAnsi="Verdana"/>
          <w:b w:val="1"/>
          <w:color w:val="444444"/>
          <w:sz w:val="36"/>
          <w:szCs w:val="36"/>
          <w:highlight w:val="white"/>
          <w:rtl w:val="0"/>
        </w:rPr>
        <w:t xml:space="preserve">Rankings</w:t>
      </w:r>
    </w:p>
    <w:p w:rsidR="00000000" w:rsidDel="00000000" w:rsidP="00000000" w:rsidRDefault="00000000" w:rsidRPr="00000000" w14:paraId="00000020">
      <w:pPr>
        <w:pageBreakBefore w:val="0"/>
        <w:shd w:fill="ffffff" w:val="clear"/>
        <w:spacing w:after="200" w:lineRule="auto"/>
        <w:rPr>
          <w:rFonts w:ascii="Verdana" w:cs="Verdana" w:eastAsia="Verdana" w:hAnsi="Verdana"/>
          <w:color w:val="444444"/>
          <w:highlight w:val="white"/>
        </w:rPr>
      </w:pPr>
      <w:r w:rsidDel="00000000" w:rsidR="00000000" w:rsidRPr="00000000">
        <w:rPr>
          <w:rFonts w:ascii="Verdana" w:cs="Verdana" w:eastAsia="Verdana" w:hAnsi="Verdana"/>
          <w:color w:val="444444"/>
          <w:highlight w:val="white"/>
          <w:rtl w:val="0"/>
        </w:rPr>
        <w:t xml:space="preserve">We ranked counties and tracts for the entire United States against one another.  This feature layer can be used for mapping and analysis of relative vulnerability of counties in multiple states, or across the U.S. as a whole. Rankings are based on percentiles. Percentile ranking values range from 0 to 1, with higher values indicating greater vulnerability. For each county and tract, we generated its percentile rank among all counties and tracts for 1) the fifteen individual variables, 2) the four themes, and 3) its overall position. </w:t>
      </w:r>
    </w:p>
    <w:p w:rsidR="00000000" w:rsidDel="00000000" w:rsidP="00000000" w:rsidRDefault="00000000" w:rsidRPr="00000000" w14:paraId="00000021">
      <w:pPr>
        <w:pageBreakBefore w:val="0"/>
        <w:shd w:fill="ffffff" w:val="clear"/>
        <w:spacing w:after="200" w:lineRule="auto"/>
        <w:rPr>
          <w:rFonts w:ascii="Verdana" w:cs="Verdana" w:eastAsia="Verdana" w:hAnsi="Verdana"/>
          <w:b w:val="1"/>
          <w:color w:val="444444"/>
          <w:sz w:val="24"/>
          <w:szCs w:val="24"/>
          <w:highlight w:val="white"/>
        </w:rPr>
      </w:pPr>
      <w:r w:rsidDel="00000000" w:rsidR="00000000" w:rsidRPr="00000000">
        <w:rPr>
          <w:rtl w:val="0"/>
        </w:rPr>
      </w:r>
    </w:p>
    <w:p w:rsidR="00000000" w:rsidDel="00000000" w:rsidP="00000000" w:rsidRDefault="00000000" w:rsidRPr="00000000" w14:paraId="00000022">
      <w:pPr>
        <w:pageBreakBefore w:val="0"/>
        <w:shd w:fill="ffffff" w:val="clear"/>
        <w:spacing w:after="200" w:lineRule="auto"/>
        <w:rPr>
          <w:rFonts w:ascii="Verdana" w:cs="Verdana" w:eastAsia="Verdana" w:hAnsi="Verdana"/>
          <w:b w:val="1"/>
          <w:color w:val="444444"/>
          <w:sz w:val="24"/>
          <w:szCs w:val="24"/>
          <w:highlight w:val="white"/>
        </w:rPr>
      </w:pPr>
      <w:r w:rsidDel="00000000" w:rsidR="00000000" w:rsidRPr="00000000">
        <w:rPr>
          <w:rFonts w:ascii="Verdana" w:cs="Verdana" w:eastAsia="Verdana" w:hAnsi="Verdana"/>
          <w:b w:val="1"/>
          <w:color w:val="444444"/>
          <w:sz w:val="24"/>
          <w:szCs w:val="24"/>
          <w:highlight w:val="white"/>
          <w:rtl w:val="0"/>
        </w:rPr>
        <w:t xml:space="preserve">Overall Rankings:</w:t>
      </w:r>
    </w:p>
    <w:p w:rsidR="00000000" w:rsidDel="00000000" w:rsidP="00000000" w:rsidRDefault="00000000" w:rsidRPr="00000000" w14:paraId="00000023">
      <w:pPr>
        <w:pageBreakBefore w:val="0"/>
        <w:shd w:fill="ffffff" w:val="clear"/>
        <w:spacing w:after="20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highlight w:val="white"/>
          <w:rtl w:val="0"/>
        </w:rPr>
        <w:t xml:space="preserve">We totaled the sums for each theme, ordered the counties, and then calculated overall </w:t>
      </w:r>
      <w:r w:rsidDel="00000000" w:rsidR="00000000" w:rsidRPr="00000000">
        <w:rPr>
          <w:rFonts w:ascii="Verdana" w:cs="Verdana" w:eastAsia="Verdana" w:hAnsi="Verdana"/>
          <w:color w:val="444444"/>
          <w:sz w:val="24"/>
          <w:szCs w:val="24"/>
          <w:highlight w:val="white"/>
          <w:rtl w:val="0"/>
        </w:rPr>
        <w:t xml:space="preserve">percentile rankings. Please note:  taking the sum of the sums for each theme is the same as summing individual variable rankings.</w:t>
      </w:r>
    </w:p>
    <w:p w:rsidR="00000000" w:rsidDel="00000000" w:rsidP="00000000" w:rsidRDefault="00000000" w:rsidRPr="00000000" w14:paraId="00000024">
      <w:pPr>
        <w:pageBreakBefore w:val="0"/>
        <w:shd w:fill="ffffff" w:val="clear"/>
        <w:spacing w:after="200" w:lineRule="auto"/>
        <w:rPr>
          <w:rFonts w:ascii="Verdana" w:cs="Verdana" w:eastAsia="Verdana" w:hAnsi="Verdana"/>
          <w:color w:val="444444"/>
          <w:sz w:val="24"/>
          <w:szCs w:val="24"/>
          <w:highlight w:val="white"/>
        </w:rPr>
      </w:pPr>
      <w:r w:rsidDel="00000000" w:rsidR="00000000" w:rsidRPr="00000000">
        <w:rPr>
          <w:rtl w:val="0"/>
        </w:rPr>
      </w:r>
    </w:p>
    <w:p w:rsidR="00000000" w:rsidDel="00000000" w:rsidP="00000000" w:rsidRDefault="00000000" w:rsidRPr="00000000" w14:paraId="00000025">
      <w:pPr>
        <w:pageBreakBefore w:val="0"/>
        <w:shd w:fill="ffffff" w:val="clear"/>
        <w:spacing w:after="20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tl w:val="0"/>
        </w:rPr>
        <w:t xml:space="preserve">The overall tract summary ranking variable is RPL_THEMES. </w:t>
      </w:r>
    </w:p>
    <w:p w:rsidR="00000000" w:rsidDel="00000000" w:rsidP="00000000" w:rsidRDefault="00000000" w:rsidRPr="00000000" w14:paraId="00000026">
      <w:pPr>
        <w:pageBreakBefore w:val="0"/>
        <w:shd w:fill="ffffff" w:val="clear"/>
        <w:spacing w:after="200" w:lineRule="auto"/>
        <w:rPr>
          <w:rFonts w:ascii="Verdana" w:cs="Verdana" w:eastAsia="Verdana" w:hAnsi="Verdana"/>
          <w:b w:val="1"/>
          <w:color w:val="444444"/>
          <w:sz w:val="28"/>
          <w:szCs w:val="28"/>
          <w:highlight w:val="white"/>
        </w:rPr>
      </w:pPr>
      <w:r w:rsidDel="00000000" w:rsidR="00000000" w:rsidRPr="00000000">
        <w:rPr>
          <w:rtl w:val="0"/>
        </w:rPr>
      </w:r>
    </w:p>
    <w:p w:rsidR="00000000" w:rsidDel="00000000" w:rsidP="00000000" w:rsidRDefault="00000000" w:rsidRPr="00000000" w14:paraId="00000027">
      <w:pPr>
        <w:pageBreakBefore w:val="0"/>
        <w:shd w:fill="ffffff" w:val="clear"/>
        <w:spacing w:after="200" w:lineRule="auto"/>
        <w:rPr>
          <w:rFonts w:ascii="Verdana" w:cs="Verdana" w:eastAsia="Verdana" w:hAnsi="Verdana"/>
          <w:b w:val="1"/>
          <w:color w:val="444444"/>
          <w:sz w:val="24"/>
          <w:szCs w:val="24"/>
          <w:highlight w:val="white"/>
        </w:rPr>
      </w:pPr>
      <w:r w:rsidDel="00000000" w:rsidR="00000000" w:rsidRPr="00000000">
        <w:rPr>
          <w:rFonts w:ascii="Verdana" w:cs="Verdana" w:eastAsia="Verdana" w:hAnsi="Verdana"/>
          <w:b w:val="1"/>
          <w:color w:val="444444"/>
          <w:sz w:val="24"/>
          <w:szCs w:val="24"/>
          <w:highlight w:val="white"/>
          <w:rtl w:val="0"/>
        </w:rPr>
        <w:t xml:space="preserve">Theme rankings:</w:t>
      </w:r>
    </w:p>
    <w:p w:rsidR="00000000" w:rsidDel="00000000" w:rsidP="00000000" w:rsidRDefault="00000000" w:rsidRPr="00000000" w14:paraId="00000028">
      <w:pPr>
        <w:pageBreakBefore w:val="0"/>
        <w:shd w:fill="ffffff" w:val="clear"/>
        <w:spacing w:after="20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highlight w:val="white"/>
          <w:rtl w:val="0"/>
        </w:rPr>
        <w:t xml:space="preserve">For each of the four themes, we summed the percentiles for the variables comprising each theme. We ordered the summed percentiles for each theme to determine theme-specific percentile rankings. </w:t>
      </w:r>
      <w:r w:rsidDel="00000000" w:rsidR="00000000" w:rsidRPr="00000000">
        <w:rPr>
          <w:rFonts w:ascii="Verdana" w:cs="Verdana" w:eastAsia="Verdana" w:hAnsi="Verdana"/>
          <w:color w:val="444444"/>
          <w:sz w:val="24"/>
          <w:szCs w:val="24"/>
          <w:highlight w:val="white"/>
          <w:rtl w:val="0"/>
        </w:rPr>
        <w:t xml:space="preserve">The four summary theme ranking variables are: </w:t>
      </w:r>
    </w:p>
    <w:p w:rsidR="00000000" w:rsidDel="00000000" w:rsidP="00000000" w:rsidRDefault="00000000" w:rsidRPr="00000000" w14:paraId="00000029">
      <w:pPr>
        <w:pageBreakBefore w:val="0"/>
        <w:shd w:fill="ffffff" w:val="clear"/>
        <w:spacing w:after="220" w:before="300" w:line="360" w:lineRule="auto"/>
        <w:ind w:left="0" w:firstLine="0"/>
        <w:rPr>
          <w:rFonts w:ascii="Verdana" w:cs="Verdana" w:eastAsia="Verdana" w:hAnsi="Verdana"/>
          <w:color w:val="444444"/>
          <w:sz w:val="23"/>
          <w:szCs w:val="23"/>
          <w:highlight w:val="white"/>
        </w:rPr>
      </w:pPr>
      <w:r w:rsidDel="00000000" w:rsidR="00000000" w:rsidRPr="00000000">
        <w:rPr>
          <w:rFonts w:ascii="Verdana" w:cs="Verdana" w:eastAsia="Verdana" w:hAnsi="Verdana"/>
          <w:color w:val="444444"/>
          <w:sz w:val="23"/>
          <w:szCs w:val="23"/>
          <w:highlight w:val="white"/>
          <w:rtl w:val="0"/>
        </w:rPr>
        <w:t xml:space="preserve">1.Socioeconomic theme - RPL_THEME1</w:t>
      </w:r>
    </w:p>
    <w:p w:rsidR="00000000" w:rsidDel="00000000" w:rsidP="00000000" w:rsidRDefault="00000000" w:rsidRPr="00000000" w14:paraId="0000002A">
      <w:pPr>
        <w:pageBreakBefore w:val="0"/>
        <w:shd w:fill="ffffff" w:val="clear"/>
        <w:spacing w:after="220" w:before="300" w:line="360" w:lineRule="auto"/>
        <w:ind w:left="0" w:firstLine="0"/>
        <w:rPr>
          <w:rFonts w:ascii="Verdana" w:cs="Verdana" w:eastAsia="Verdana" w:hAnsi="Verdana"/>
          <w:color w:val="444444"/>
          <w:sz w:val="23"/>
          <w:szCs w:val="23"/>
          <w:highlight w:val="white"/>
        </w:rPr>
      </w:pPr>
      <w:r w:rsidDel="00000000" w:rsidR="00000000" w:rsidRPr="00000000">
        <w:rPr>
          <w:rFonts w:ascii="Verdana" w:cs="Verdana" w:eastAsia="Verdana" w:hAnsi="Verdana"/>
          <w:color w:val="444444"/>
          <w:sz w:val="23"/>
          <w:szCs w:val="23"/>
          <w:highlight w:val="white"/>
          <w:rtl w:val="0"/>
        </w:rPr>
        <w:t xml:space="preserve">2.Housing Composition and Disability - RPL_THEME2</w:t>
      </w:r>
    </w:p>
    <w:p w:rsidR="00000000" w:rsidDel="00000000" w:rsidP="00000000" w:rsidRDefault="00000000" w:rsidRPr="00000000" w14:paraId="0000002B">
      <w:pPr>
        <w:pageBreakBefore w:val="0"/>
        <w:shd w:fill="ffffff" w:val="clear"/>
        <w:spacing w:after="220" w:before="300" w:line="360" w:lineRule="auto"/>
        <w:ind w:left="0" w:firstLine="0"/>
        <w:rPr>
          <w:rFonts w:ascii="Verdana" w:cs="Verdana" w:eastAsia="Verdana" w:hAnsi="Verdana"/>
          <w:color w:val="444444"/>
          <w:sz w:val="23"/>
          <w:szCs w:val="23"/>
          <w:highlight w:val="white"/>
        </w:rPr>
      </w:pPr>
      <w:r w:rsidDel="00000000" w:rsidR="00000000" w:rsidRPr="00000000">
        <w:rPr>
          <w:rFonts w:ascii="Verdana" w:cs="Verdana" w:eastAsia="Verdana" w:hAnsi="Verdana"/>
          <w:color w:val="444444"/>
          <w:sz w:val="23"/>
          <w:szCs w:val="23"/>
          <w:highlight w:val="white"/>
          <w:rtl w:val="0"/>
        </w:rPr>
        <w:t xml:space="preserve">3.Minority Status &amp; Language - RPL_THEME3</w:t>
      </w:r>
    </w:p>
    <w:p w:rsidR="00000000" w:rsidDel="00000000" w:rsidP="00000000" w:rsidRDefault="00000000" w:rsidRPr="00000000" w14:paraId="0000002C">
      <w:pPr>
        <w:pageBreakBefore w:val="0"/>
        <w:shd w:fill="ffffff" w:val="clear"/>
        <w:spacing w:after="220" w:before="300" w:line="360" w:lineRule="auto"/>
        <w:ind w:left="0" w:firstLine="0"/>
        <w:rPr>
          <w:rFonts w:ascii="Verdana" w:cs="Verdana" w:eastAsia="Verdana" w:hAnsi="Verdana"/>
          <w:color w:val="444444"/>
          <w:sz w:val="23"/>
          <w:szCs w:val="23"/>
          <w:highlight w:val="white"/>
        </w:rPr>
      </w:pPr>
      <w:r w:rsidDel="00000000" w:rsidR="00000000" w:rsidRPr="00000000">
        <w:rPr>
          <w:rFonts w:ascii="Verdana" w:cs="Verdana" w:eastAsia="Verdana" w:hAnsi="Verdana"/>
          <w:color w:val="444444"/>
          <w:sz w:val="23"/>
          <w:szCs w:val="23"/>
          <w:highlight w:val="white"/>
          <w:rtl w:val="0"/>
        </w:rPr>
        <w:t xml:space="preserve">4.Housing &amp; Transportation - RPL_THEME4</w:t>
      </w:r>
    </w:p>
    <w:p w:rsidR="00000000" w:rsidDel="00000000" w:rsidP="00000000" w:rsidRDefault="00000000" w:rsidRPr="00000000" w14:paraId="0000002D">
      <w:pPr>
        <w:pStyle w:val="Heading4"/>
        <w:keepNext w:val="0"/>
        <w:keepLines w:val="0"/>
        <w:pageBreakBefore w:val="0"/>
        <w:shd w:fill="ffffff" w:val="clear"/>
        <w:spacing w:after="40" w:before="240" w:line="360" w:lineRule="auto"/>
        <w:rPr>
          <w:color w:val="4c4c4c"/>
          <w:highlight w:val="white"/>
        </w:rPr>
      </w:pPr>
      <w:bookmarkStart w:colFirst="0" w:colLast="0" w:name="_ioj6f3hdht9r" w:id="0"/>
      <w:bookmarkEnd w:id="0"/>
      <w:r w:rsidDel="00000000" w:rsidR="00000000" w:rsidRPr="00000000">
        <w:rPr>
          <w:color w:val="4c4c4c"/>
          <w:highlight w:val="white"/>
          <w:rtl w:val="0"/>
        </w:rPr>
        <w:t xml:space="preserve">Summary</w:t>
      </w:r>
    </w:p>
    <w:p w:rsidR="00000000" w:rsidDel="00000000" w:rsidP="00000000" w:rsidRDefault="00000000" w:rsidRPr="00000000" w14:paraId="0000002E">
      <w:pPr>
        <w:pageBreakBefore w:val="0"/>
        <w:shd w:fill="ffffff" w:val="clear"/>
        <w:spacing w:after="200" w:lineRule="auto"/>
        <w:rPr>
          <w:color w:val="4c4c4c"/>
          <w:sz w:val="24"/>
          <w:szCs w:val="24"/>
          <w:highlight w:val="white"/>
        </w:rPr>
      </w:pPr>
      <w:r w:rsidDel="00000000" w:rsidR="00000000" w:rsidRPr="00000000">
        <w:rPr>
          <w:color w:val="4c4c4c"/>
          <w:sz w:val="24"/>
          <w:szCs w:val="24"/>
          <w:highlight w:val="white"/>
          <w:rtl w:val="0"/>
        </w:rPr>
        <w:t xml:space="preserve">ATSDR’s Geospatial Research, Analysis &amp; Services Program (GRASP) has created a tool to help emergency response planners and public health officials identify and map the communities that will most likely need support before, during, and after a hazardous event. The Social Vulnerability Index (SVI) uses U.S. Census data to determine the social vulnerability of every county and tract. CDC SVI ranks each county and tract on 15 social factors, including poverty, lack of vehicle access, and crowded housing, and groups them into four related themes: Socioeconomic Housing Composition and Disability Minority Status and Language Housing and Transportation</w:t>
      </w:r>
    </w:p>
    <w:p w:rsidR="00000000" w:rsidDel="00000000" w:rsidP="00000000" w:rsidRDefault="00000000" w:rsidRPr="00000000" w14:paraId="0000002F">
      <w:pPr>
        <w:pStyle w:val="Heading4"/>
        <w:keepNext w:val="0"/>
        <w:keepLines w:val="0"/>
        <w:pageBreakBefore w:val="0"/>
        <w:shd w:fill="ffffff" w:val="clear"/>
        <w:spacing w:after="40" w:before="240" w:line="360" w:lineRule="auto"/>
        <w:rPr>
          <w:color w:val="4c4c4c"/>
          <w:highlight w:val="white"/>
        </w:rPr>
      </w:pPr>
      <w:bookmarkStart w:colFirst="0" w:colLast="0" w:name="_hekjtjij3k6" w:id="1"/>
      <w:bookmarkEnd w:id="1"/>
      <w:r w:rsidDel="00000000" w:rsidR="00000000" w:rsidRPr="00000000">
        <w:rPr>
          <w:color w:val="4c4c4c"/>
          <w:highlight w:val="white"/>
          <w:rtl w:val="0"/>
        </w:rPr>
        <w:t xml:space="preserve">Description</w:t>
      </w:r>
    </w:p>
    <w:p w:rsidR="00000000" w:rsidDel="00000000" w:rsidP="00000000" w:rsidRDefault="00000000" w:rsidRPr="00000000" w14:paraId="00000030">
      <w:pPr>
        <w:pageBreakBefore w:val="0"/>
        <w:shd w:fill="ffffff" w:val="clear"/>
        <w:spacing w:after="360" w:lineRule="auto"/>
        <w:rPr>
          <w:color w:val="4c4c4c"/>
          <w:sz w:val="24"/>
          <w:szCs w:val="24"/>
          <w:highlight w:val="white"/>
        </w:rPr>
      </w:pPr>
      <w:r w:rsidDel="00000000" w:rsidR="00000000" w:rsidRPr="00000000">
        <w:rPr>
          <w:color w:val="4c4c4c"/>
          <w:sz w:val="24"/>
          <w:szCs w:val="24"/>
          <w:highlight w:val="white"/>
          <w:rtl w:val="0"/>
        </w:rPr>
        <w:t xml:space="preserve">This feature layer visualizes the 2018 overall SVI for U.S. counties and tracts</w:t>
      </w:r>
    </w:p>
    <w:p w:rsidR="00000000" w:rsidDel="00000000" w:rsidP="00000000" w:rsidRDefault="00000000" w:rsidRPr="00000000" w14:paraId="00000031">
      <w:pPr>
        <w:pageBreakBefore w:val="0"/>
        <w:shd w:fill="ffffff" w:val="clear"/>
        <w:spacing w:after="360" w:lineRule="auto"/>
        <w:rPr>
          <w:color w:val="4c4c4c"/>
          <w:sz w:val="24"/>
          <w:szCs w:val="24"/>
          <w:highlight w:val="white"/>
        </w:rPr>
      </w:pPr>
      <w:r w:rsidDel="00000000" w:rsidR="00000000" w:rsidRPr="00000000">
        <w:rPr>
          <w:color w:val="4c4c4c"/>
          <w:sz w:val="24"/>
          <w:szCs w:val="24"/>
          <w:highlight w:val="white"/>
          <w:rtl w:val="0"/>
        </w:rPr>
        <w:t xml:space="preserve">Social Vulnerability Index (SVI) indicates the relative vulnerability of every U.S. county and tract</w:t>
      </w:r>
    </w:p>
    <w:p w:rsidR="00000000" w:rsidDel="00000000" w:rsidP="00000000" w:rsidRDefault="00000000" w:rsidRPr="00000000" w14:paraId="00000032">
      <w:pPr>
        <w:pageBreakBefore w:val="0"/>
        <w:shd w:fill="ffffff" w:val="clear"/>
        <w:spacing w:after="360" w:lineRule="auto"/>
        <w:rPr>
          <w:color w:val="4c4c4c"/>
          <w:sz w:val="24"/>
          <w:szCs w:val="24"/>
          <w:highlight w:val="white"/>
        </w:rPr>
      </w:pPr>
      <w:r w:rsidDel="00000000" w:rsidR="00000000" w:rsidRPr="00000000">
        <w:rPr>
          <w:color w:val="4c4c4c"/>
          <w:sz w:val="24"/>
          <w:szCs w:val="24"/>
          <w:highlight w:val="white"/>
          <w:rtl w:val="0"/>
        </w:rPr>
        <w:t xml:space="preserve">15 social factors grouped into four major themes</w:t>
      </w:r>
    </w:p>
    <w:p w:rsidR="00000000" w:rsidDel="00000000" w:rsidP="00000000" w:rsidRDefault="00000000" w:rsidRPr="00000000" w14:paraId="00000033">
      <w:pPr>
        <w:pageBreakBefore w:val="0"/>
        <w:shd w:fill="ffffff" w:val="clear"/>
        <w:spacing w:after="360" w:lineRule="auto"/>
        <w:rPr>
          <w:color w:val="4c4c4c"/>
          <w:sz w:val="24"/>
          <w:szCs w:val="24"/>
          <w:highlight w:val="white"/>
        </w:rPr>
      </w:pPr>
      <w:r w:rsidDel="00000000" w:rsidR="00000000" w:rsidRPr="00000000">
        <w:rPr>
          <w:color w:val="4c4c4c"/>
          <w:sz w:val="24"/>
          <w:szCs w:val="24"/>
          <w:highlight w:val="white"/>
          <w:rtl w:val="0"/>
        </w:rPr>
        <w:t xml:space="preserve">Index value calculated for each county for the 15 social factors, four major themes, and the overall rank</w:t>
      </w:r>
    </w:p>
    <w:p w:rsidR="00000000" w:rsidDel="00000000" w:rsidP="00000000" w:rsidRDefault="00000000" w:rsidRPr="00000000" w14:paraId="00000034">
      <w:pPr>
        <w:pageBreakBefore w:val="0"/>
        <w:shd w:fill="ffffff" w:val="clear"/>
        <w:spacing w:after="200" w:lineRule="auto"/>
        <w:rPr>
          <w:color w:val="4c4c4c"/>
          <w:sz w:val="24"/>
          <w:szCs w:val="24"/>
          <w:highlight w:val="white"/>
        </w:rPr>
      </w:pPr>
      <w:r w:rsidDel="00000000" w:rsidR="00000000" w:rsidRPr="00000000">
        <w:rPr>
          <w:rtl w:val="0"/>
        </w:rPr>
      </w:r>
    </w:p>
    <w:p w:rsidR="00000000" w:rsidDel="00000000" w:rsidP="00000000" w:rsidRDefault="00000000" w:rsidRPr="00000000" w14:paraId="00000035">
      <w:pPr>
        <w:pageBreakBefore w:val="0"/>
        <w:numPr>
          <w:ilvl w:val="1"/>
          <w:numId w:val="2"/>
        </w:numPr>
        <w:shd w:fill="ffffff" w:val="clear"/>
        <w:spacing w:after="0" w:afterAutospacing="0" w:lineRule="auto"/>
        <w:ind w:left="1440" w:hanging="360"/>
        <w:rPr>
          <w:color w:val="4c4c4c"/>
          <w:sz w:val="24"/>
          <w:szCs w:val="24"/>
          <w:highlight w:val="white"/>
          <w:u w:val="none"/>
        </w:rPr>
      </w:pPr>
      <w:r w:rsidDel="00000000" w:rsidR="00000000" w:rsidRPr="00000000">
        <w:rPr>
          <w:color w:val="4c4c4c"/>
          <w:sz w:val="24"/>
          <w:szCs w:val="24"/>
          <w:highlight w:val="white"/>
          <w:rtl w:val="0"/>
        </w:rPr>
        <w:t xml:space="preserve">Both were </w:t>
      </w:r>
      <w:r w:rsidDel="00000000" w:rsidR="00000000" w:rsidRPr="00000000">
        <w:rPr>
          <w:color w:val="4c4c4c"/>
          <w:sz w:val="23"/>
          <w:szCs w:val="23"/>
          <w:highlight w:val="white"/>
          <w:rtl w:val="0"/>
        </w:rPr>
        <w:t xml:space="preserve">Feature Layer by </w:t>
      </w:r>
      <w:r w:rsidDel="00000000" w:rsidR="00000000" w:rsidRPr="00000000">
        <w:rPr>
          <w:color w:val="0079c1"/>
          <w:sz w:val="24"/>
          <w:szCs w:val="24"/>
          <w:highlight w:val="white"/>
          <w:rtl w:val="0"/>
        </w:rPr>
        <w:t xml:space="preserve">data_cdc</w:t>
      </w:r>
      <w:r w:rsidDel="00000000" w:rsidR="00000000" w:rsidRPr="00000000">
        <w:rPr>
          <w:rtl w:val="0"/>
        </w:rPr>
      </w:r>
    </w:p>
    <w:p w:rsidR="00000000" w:rsidDel="00000000" w:rsidP="00000000" w:rsidRDefault="00000000" w:rsidRPr="00000000" w14:paraId="00000036">
      <w:pPr>
        <w:pageBreakBefore w:val="0"/>
        <w:numPr>
          <w:ilvl w:val="0"/>
          <w:numId w:val="2"/>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Methods</w:t>
      </w:r>
      <w:r w:rsidDel="00000000" w:rsidR="00000000" w:rsidRPr="00000000">
        <w:rPr>
          <w:rFonts w:ascii="Lato" w:cs="Lato" w:eastAsia="Lato" w:hAnsi="Lato"/>
          <w:color w:val="2d3b45"/>
          <w:sz w:val="24"/>
          <w:szCs w:val="24"/>
          <w:rtl w:val="0"/>
        </w:rPr>
        <w:t xml:space="preserve"> - Explain the method(s) you used to create the map(s). Describe the type of thematic map, how the data was processed, classification schemes, color/symbol choices, etc. Every decision you make has to have a reason and you must be able to explain and defend your reasoning.</w:t>
      </w:r>
    </w:p>
    <w:p w:rsidR="00000000" w:rsidDel="00000000" w:rsidP="00000000" w:rsidRDefault="00000000" w:rsidRPr="00000000" w14:paraId="00000037">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Type of thematic map: Web mapping application</w:t>
      </w:r>
    </w:p>
    <w:p w:rsidR="00000000" w:rsidDel="00000000" w:rsidP="00000000" w:rsidRDefault="00000000" w:rsidRPr="00000000" w14:paraId="00000038">
      <w:pPr>
        <w:pageBreakBefore w:val="0"/>
        <w:numPr>
          <w:ilvl w:val="2"/>
          <w:numId w:val="2"/>
        </w:numPr>
        <w:shd w:fill="ffffff" w:val="clear"/>
        <w:spacing w:after="0" w:after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For easy access to more detailed information by county</w:t>
      </w:r>
    </w:p>
    <w:p w:rsidR="00000000" w:rsidDel="00000000" w:rsidP="00000000" w:rsidRDefault="00000000" w:rsidRPr="00000000" w14:paraId="00000039">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Data was found in ArcGis Living Atlas</w:t>
      </w:r>
    </w:p>
    <w:p w:rsidR="00000000" w:rsidDel="00000000" w:rsidP="00000000" w:rsidRDefault="00000000" w:rsidRPr="00000000" w14:paraId="0000003A">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Classification schemes: </w:t>
      </w:r>
    </w:p>
    <w:p w:rsidR="00000000" w:rsidDel="00000000" w:rsidP="00000000" w:rsidRDefault="00000000" w:rsidRPr="00000000" w14:paraId="0000003B">
      <w:pPr>
        <w:pageBreakBefore w:val="0"/>
        <w:numPr>
          <w:ilvl w:val="2"/>
          <w:numId w:val="2"/>
        </w:numPr>
        <w:shd w:fill="ffffff" w:val="clear"/>
        <w:spacing w:after="0" w:after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SVI - Clorolpleth</w:t>
      </w:r>
    </w:p>
    <w:p w:rsidR="00000000" w:rsidDel="00000000" w:rsidP="00000000" w:rsidRDefault="00000000" w:rsidRPr="00000000" w14:paraId="0000003C">
      <w:pPr>
        <w:pageBreakBefore w:val="0"/>
        <w:numPr>
          <w:ilvl w:val="3"/>
          <w:numId w:val="2"/>
        </w:numPr>
        <w:shd w:fill="ffffff" w:val="clear"/>
        <w:spacing w:after="0" w:afterAutospacing="0" w:lineRule="auto"/>
        <w:ind w:left="288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To see the underlying issues at hand</w:t>
      </w:r>
    </w:p>
    <w:p w:rsidR="00000000" w:rsidDel="00000000" w:rsidP="00000000" w:rsidRDefault="00000000" w:rsidRPr="00000000" w14:paraId="0000003D">
      <w:pPr>
        <w:pageBreakBefore w:val="0"/>
        <w:numPr>
          <w:ilvl w:val="2"/>
          <w:numId w:val="2"/>
        </w:numPr>
        <w:shd w:fill="ffffff" w:val="clear"/>
        <w:spacing w:after="0" w:afterAutospacing="0" w:lineRule="auto"/>
        <w:ind w:left="216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Mental Distress - graduated symbols</w:t>
      </w:r>
    </w:p>
    <w:p w:rsidR="00000000" w:rsidDel="00000000" w:rsidP="00000000" w:rsidRDefault="00000000" w:rsidRPr="00000000" w14:paraId="0000003E">
      <w:pPr>
        <w:pageBreakBefore w:val="0"/>
        <w:numPr>
          <w:ilvl w:val="3"/>
          <w:numId w:val="2"/>
        </w:numPr>
        <w:shd w:fill="ffffff" w:val="clear"/>
        <w:spacing w:after="0" w:afterAutospacing="0" w:lineRule="auto"/>
        <w:ind w:left="288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To understand the size of the distress in the area</w:t>
      </w:r>
    </w:p>
    <w:p w:rsidR="00000000" w:rsidDel="00000000" w:rsidP="00000000" w:rsidRDefault="00000000" w:rsidRPr="00000000" w14:paraId="0000003F">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Color/symbol choice reasoning: </w:t>
      </w:r>
    </w:p>
    <w:p w:rsidR="00000000" w:rsidDel="00000000" w:rsidP="00000000" w:rsidRDefault="00000000" w:rsidRPr="00000000" w14:paraId="00000040">
      <w:pPr>
        <w:pageBreakBefore w:val="0"/>
        <w:numPr>
          <w:ilvl w:val="2"/>
          <w:numId w:val="2"/>
        </w:numPr>
        <w:shd w:fill="ffffff" w:val="clear"/>
        <w:spacing w:after="0" w:afterAutospacing="0" w:lineRule="auto"/>
        <w:ind w:left="2160"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SVI - on the counties for clear understanding</w:t>
      </w:r>
    </w:p>
    <w:p w:rsidR="00000000" w:rsidDel="00000000" w:rsidP="00000000" w:rsidRDefault="00000000" w:rsidRPr="00000000" w14:paraId="00000041">
      <w:pPr>
        <w:pageBreakBefore w:val="0"/>
        <w:numPr>
          <w:ilvl w:val="3"/>
          <w:numId w:val="2"/>
        </w:numPr>
        <w:shd w:fill="ffffff" w:val="clear"/>
        <w:spacing w:after="0" w:afterAutospacing="0" w:lineRule="auto"/>
        <w:ind w:left="288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Purple with 5 different color saturations to see the differences in the states percentile ranking of the SVI</w:t>
      </w:r>
    </w:p>
    <w:p w:rsidR="00000000" w:rsidDel="00000000" w:rsidP="00000000" w:rsidRDefault="00000000" w:rsidRPr="00000000" w14:paraId="00000042">
      <w:pPr>
        <w:pageBreakBefore w:val="0"/>
        <w:numPr>
          <w:ilvl w:val="2"/>
          <w:numId w:val="2"/>
        </w:numPr>
        <w:shd w:fill="ffffff" w:val="clear"/>
        <w:spacing w:after="0" w:afterAutospacing="0" w:lineRule="auto"/>
        <w:ind w:left="2160"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Mental Distress - pins on the counties to still see the color underneath and show the size of the pin in relation to the amount of mental distress</w:t>
      </w:r>
    </w:p>
    <w:p w:rsidR="00000000" w:rsidDel="00000000" w:rsidP="00000000" w:rsidRDefault="00000000" w:rsidRPr="00000000" w14:paraId="00000043">
      <w:pPr>
        <w:pageBreakBefore w:val="0"/>
        <w:numPr>
          <w:ilvl w:val="3"/>
          <w:numId w:val="2"/>
        </w:numPr>
        <w:shd w:fill="ffffff" w:val="clear"/>
        <w:spacing w:after="0" w:afterAutospacing="0" w:lineRule="auto"/>
        <w:ind w:left="288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Blueish silver to contrast with the purple and make it stand out still</w:t>
      </w:r>
    </w:p>
    <w:p w:rsidR="00000000" w:rsidDel="00000000" w:rsidP="00000000" w:rsidRDefault="00000000" w:rsidRPr="00000000" w14:paraId="00000044">
      <w:pPr>
        <w:pageBreakBefore w:val="0"/>
        <w:numPr>
          <w:ilvl w:val="0"/>
          <w:numId w:val="2"/>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Discussion</w:t>
      </w:r>
      <w:r w:rsidDel="00000000" w:rsidR="00000000" w:rsidRPr="00000000">
        <w:rPr>
          <w:rFonts w:ascii="Lato" w:cs="Lato" w:eastAsia="Lato" w:hAnsi="Lato"/>
          <w:color w:val="2d3b45"/>
          <w:sz w:val="24"/>
          <w:szCs w:val="24"/>
          <w:rtl w:val="0"/>
        </w:rPr>
        <w:t xml:space="preserve"> - Discuss issues, limitations, and possible follow-up work.</w:t>
      </w:r>
    </w:p>
    <w:p w:rsidR="00000000" w:rsidDel="00000000" w:rsidP="00000000" w:rsidRDefault="00000000" w:rsidRPr="00000000" w14:paraId="00000045">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Not only do people suffer from difficulties of (SVI) factors but these come with mental stress which can deteriorate their health at a faster rate.</w:t>
      </w:r>
    </w:p>
    <w:p w:rsidR="00000000" w:rsidDel="00000000" w:rsidP="00000000" w:rsidRDefault="00000000" w:rsidRPr="00000000" w14:paraId="00000046">
      <w:pPr>
        <w:pageBreakBefore w:val="0"/>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Limitations: ????</w:t>
      </w:r>
    </w:p>
    <w:p w:rsidR="00000000" w:rsidDel="00000000" w:rsidP="00000000" w:rsidRDefault="00000000" w:rsidRPr="00000000" w14:paraId="00000047">
      <w:pPr>
        <w:pageBreakBefore w:val="0"/>
        <w:numPr>
          <w:ilvl w:val="1"/>
          <w:numId w:val="2"/>
        </w:numPr>
        <w:shd w:fill="ffffff" w:val="clear"/>
        <w:spacing w:after="20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Follow-up work???</w:t>
      </w:r>
    </w:p>
    <w:p w:rsidR="00000000" w:rsidDel="00000000" w:rsidP="00000000" w:rsidRDefault="00000000" w:rsidRPr="00000000" w14:paraId="00000048">
      <w:pPr>
        <w:pageBreakBefore w:val="0"/>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What's Due:</w:t>
      </w:r>
    </w:p>
    <w:p w:rsidR="00000000" w:rsidDel="00000000" w:rsidP="00000000" w:rsidRDefault="00000000" w:rsidRPr="00000000" w14:paraId="00000049">
      <w:pPr>
        <w:pageBreakBefore w:val="0"/>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Output Maps (#1 above)</w:t>
      </w:r>
    </w:p>
    <w:p w:rsidR="00000000" w:rsidDel="00000000" w:rsidP="00000000" w:rsidRDefault="00000000" w:rsidRPr="00000000" w14:paraId="0000004A">
      <w:pPr>
        <w:pageBreakBefore w:val="0"/>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1-2 page written summary outlining #2 - #5 above.</w:t>
      </w:r>
    </w:p>
    <w:p w:rsidR="00000000" w:rsidDel="00000000" w:rsidP="00000000" w:rsidRDefault="00000000" w:rsidRPr="00000000" w14:paraId="0000004B">
      <w:pPr>
        <w:pageBreakBefore w:val="0"/>
        <w:numPr>
          <w:ilvl w:val="0"/>
          <w:numId w:val="4"/>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I expect each element to be well thought out, thoroughly explained, and something you would be comfortable submitting in the workplace</w:t>
      </w:r>
    </w:p>
    <w:p w:rsidR="00000000" w:rsidDel="00000000" w:rsidP="00000000" w:rsidRDefault="00000000" w:rsidRPr="00000000" w14:paraId="0000004C">
      <w:pPr>
        <w:pageBreakBefore w:val="0"/>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My Expectations</w:t>
      </w:r>
    </w:p>
    <w:p w:rsidR="00000000" w:rsidDel="00000000" w:rsidP="00000000" w:rsidRDefault="00000000" w:rsidRPr="00000000" w14:paraId="0000004D">
      <w:pPr>
        <w:pageBreakBefore w:val="0"/>
        <w:numPr>
          <w:ilvl w:val="0"/>
          <w:numId w:val="5"/>
        </w:numPr>
        <w:shd w:fill="ffffff" w:val="clear"/>
        <w:spacing w:after="0" w:afterAutospacing="0" w:lineRule="auto"/>
        <w:ind w:left="1100" w:hanging="360"/>
      </w:pPr>
      <w:r w:rsidDel="00000000" w:rsidR="00000000" w:rsidRPr="00000000">
        <w:rPr>
          <w:rFonts w:ascii="Lato" w:cs="Lato" w:eastAsia="Lato" w:hAnsi="Lato"/>
          <w:b w:val="1"/>
          <w:color w:val="2d3b45"/>
          <w:sz w:val="24"/>
          <w:szCs w:val="24"/>
          <w:rtl w:val="0"/>
        </w:rPr>
        <w:t xml:space="preserve">Not expecting a full thesis or anything like that</w:t>
      </w:r>
    </w:p>
    <w:p w:rsidR="00000000" w:rsidDel="00000000" w:rsidP="00000000" w:rsidRDefault="00000000" w:rsidRPr="00000000" w14:paraId="0000004E">
      <w:pPr>
        <w:pageBreakBefore w:val="0"/>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I want you to try and answer a question or show something new</w:t>
      </w:r>
    </w:p>
    <w:p w:rsidR="00000000" w:rsidDel="00000000" w:rsidP="00000000" w:rsidRDefault="00000000" w:rsidRPr="00000000" w14:paraId="0000004F">
      <w:pPr>
        <w:pageBreakBefore w:val="0"/>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Create new maps showing different data</w:t>
      </w:r>
    </w:p>
    <w:p w:rsidR="00000000" w:rsidDel="00000000" w:rsidP="00000000" w:rsidRDefault="00000000" w:rsidRPr="00000000" w14:paraId="00000050">
      <w:pPr>
        <w:pageBreakBefore w:val="0"/>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Explore relationships between different datasets</w:t>
      </w:r>
    </w:p>
    <w:p w:rsidR="00000000" w:rsidDel="00000000" w:rsidP="00000000" w:rsidRDefault="00000000" w:rsidRPr="00000000" w14:paraId="00000051">
      <w:pPr>
        <w:pageBreakBefore w:val="0"/>
        <w:numPr>
          <w:ilvl w:val="0"/>
          <w:numId w:val="5"/>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Do some analysis</w:t>
      </w:r>
    </w:p>
    <w:p w:rsidR="00000000" w:rsidDel="00000000" w:rsidP="00000000" w:rsidRDefault="00000000" w:rsidRPr="00000000" w14:paraId="00000052">
      <w:pPr>
        <w:pageBreakBefore w:val="0"/>
        <w:numPr>
          <w:ilvl w:val="0"/>
          <w:numId w:val="5"/>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Collect new data</w:t>
      </w:r>
    </w:p>
    <w:p w:rsidR="00000000" w:rsidDel="00000000" w:rsidP="00000000" w:rsidRDefault="00000000" w:rsidRPr="00000000" w14:paraId="00000053">
      <w:pPr>
        <w:pageBreakBefore w:val="0"/>
        <w:rPr/>
      </w:pPr>
      <w:r w:rsidDel="00000000" w:rsidR="00000000" w:rsidRPr="00000000">
        <w:rPr>
          <w:rtl w:val="0"/>
        </w:rPr>
        <w:t xml:space="preserve">Data to use</w:t>
      </w:r>
    </w:p>
    <w:p w:rsidR="00000000" w:rsidDel="00000000" w:rsidP="00000000" w:rsidRDefault="00000000" w:rsidRPr="00000000" w14:paraId="00000054">
      <w:pPr>
        <w:pageBreakBefore w:val="0"/>
        <w:rPr/>
      </w:pPr>
      <w:hyperlink r:id="rId15">
        <w:r w:rsidDel="00000000" w:rsidR="00000000" w:rsidRPr="00000000">
          <w:rPr>
            <w:color w:val="1155cc"/>
            <w:u w:val="single"/>
            <w:rtl w:val="0"/>
          </w:rPr>
          <w:t xml:space="preserve">https://nihcm.org/publications/the-impact-of-the-pandemic-on-the-mental-health-of-children-youth?utm_source=NIHCM+Foundation&amp;utm_campaign=a90d437f97-052421_Children_MentalHealth_Infographic&amp;utm_medium=email&amp;utm_term=0_6f88de9846-a90d437f97-167823560</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https://www.census.gov/data/experimental-data-products/community-resilience-estimates.html?utm_campaign=&amp;utm_content=&amp;utm_medium=email&amp;utm_source=govdelivery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hyperlink r:id="rId16">
        <w:r w:rsidDel="00000000" w:rsidR="00000000" w:rsidRPr="00000000">
          <w:rPr>
            <w:color w:val="1155cc"/>
            <w:u w:val="single"/>
            <w:rtl w:val="0"/>
          </w:rPr>
          <w:t xml:space="preserve">https://www.unitedwayatlanta.org/child-well-being-map/</w:t>
        </w:r>
      </w:hyperlink>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rFonts w:ascii="Lato" w:cs="Lato" w:eastAsia="Lato" w:hAnsi="Lato"/>
          <w:color w:val="2d3b45"/>
          <w:sz w:val="24"/>
          <w:szCs w:val="24"/>
          <w:highlight w:val="white"/>
        </w:rPr>
      </w:pPr>
      <w:hyperlink r:id="rId17">
        <w:r w:rsidDel="00000000" w:rsidR="00000000" w:rsidRPr="00000000">
          <w:rPr>
            <w:rFonts w:ascii="Lato" w:cs="Lato" w:eastAsia="Lato" w:hAnsi="Lato"/>
            <w:color w:val="1155cc"/>
            <w:sz w:val="24"/>
            <w:szCs w:val="24"/>
            <w:highlight w:val="white"/>
            <w:u w:val="single"/>
            <w:rtl w:val="0"/>
          </w:rPr>
          <w:t xml:space="preserve">https://www.icpsr.umich.edu/web/pages/</w:t>
        </w:r>
      </w:hyperlink>
      <w:r w:rsidDel="00000000" w:rsidR="00000000" w:rsidRPr="00000000">
        <w:rPr>
          <w:rtl w:val="0"/>
        </w:rPr>
      </w:r>
    </w:p>
    <w:p w:rsidR="00000000" w:rsidDel="00000000" w:rsidP="00000000" w:rsidRDefault="00000000" w:rsidRPr="00000000" w14:paraId="0000005B">
      <w:pPr>
        <w:pageBreakBefore w:val="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C">
      <w:pPr>
        <w:pageBreakBefore w:val="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D">
      <w:pPr>
        <w:pageBreakBefore w:val="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Week 5 lecture questions slides 20-24</w:t>
      </w:r>
    </w:p>
    <w:p w:rsidR="00000000" w:rsidDel="00000000" w:rsidP="00000000" w:rsidRDefault="00000000" w:rsidRPr="00000000" w14:paraId="0000005E">
      <w:pPr>
        <w:pageBreakBefore w:val="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5F">
      <w:pPr>
        <w:pageBreakBefore w:val="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Week 7 last slide</w:t>
      </w:r>
    </w:p>
    <w:p w:rsidR="00000000" w:rsidDel="00000000" w:rsidP="00000000" w:rsidRDefault="00000000" w:rsidRPr="00000000" w14:paraId="00000060">
      <w:pPr>
        <w:pageBreakBefore w:val="0"/>
        <w:numPr>
          <w:ilvl w:val="0"/>
          <w:numId w:val="3"/>
        </w:numPr>
        <w:ind w:left="720" w:hanging="360"/>
        <w:rPr>
          <w:rFonts w:ascii="Lato" w:cs="Lato" w:eastAsia="Lato" w:hAnsi="Lato"/>
          <w:color w:val="2d3b45"/>
          <w:sz w:val="24"/>
          <w:szCs w:val="24"/>
          <w:highlight w:val="white"/>
          <w:u w:val="none"/>
        </w:rPr>
      </w:pPr>
      <w:hyperlink r:id="rId18">
        <w:r w:rsidDel="00000000" w:rsidR="00000000" w:rsidRPr="00000000">
          <w:rPr>
            <w:rFonts w:ascii="Lato" w:cs="Lato" w:eastAsia="Lato" w:hAnsi="Lato"/>
            <w:color w:val="1155cc"/>
            <w:sz w:val="24"/>
            <w:szCs w:val="24"/>
            <w:highlight w:val="white"/>
            <w:u w:val="single"/>
            <w:rtl w:val="0"/>
          </w:rPr>
          <w:t xml:space="preserve">https://factfinder.cencus.gov/</w:t>
        </w:r>
      </w:hyperlink>
      <w:r w:rsidDel="00000000" w:rsidR="00000000" w:rsidRPr="00000000">
        <w:rPr>
          <w:rtl w:val="0"/>
        </w:rPr>
      </w:r>
    </w:p>
    <w:p w:rsidR="00000000" w:rsidDel="00000000" w:rsidP="00000000" w:rsidRDefault="00000000" w:rsidRPr="00000000" w14:paraId="00000061">
      <w:pPr>
        <w:pageBreakBefore w:val="0"/>
        <w:numPr>
          <w:ilvl w:val="0"/>
          <w:numId w:val="3"/>
        </w:numPr>
        <w:ind w:left="720" w:hanging="360"/>
        <w:rPr>
          <w:rFonts w:ascii="Lato" w:cs="Lato" w:eastAsia="Lato" w:hAnsi="Lato"/>
          <w:color w:val="2d3b45"/>
          <w:sz w:val="24"/>
          <w:szCs w:val="24"/>
          <w:highlight w:val="white"/>
          <w:u w:val="none"/>
        </w:rPr>
      </w:pPr>
      <w:hyperlink r:id="rId19">
        <w:r w:rsidDel="00000000" w:rsidR="00000000" w:rsidRPr="00000000">
          <w:rPr>
            <w:rFonts w:ascii="Lato" w:cs="Lato" w:eastAsia="Lato" w:hAnsi="Lato"/>
            <w:color w:val="1155cc"/>
            <w:sz w:val="24"/>
            <w:szCs w:val="24"/>
            <w:highlight w:val="white"/>
            <w:u w:val="single"/>
            <w:rtl w:val="0"/>
          </w:rPr>
          <w:t xml:space="preserve">http://www.countyhealthrankings.org/</w:t>
        </w:r>
      </w:hyperlink>
      <w:r w:rsidDel="00000000" w:rsidR="00000000" w:rsidRPr="00000000">
        <w:rPr>
          <w:rtl w:val="0"/>
        </w:rPr>
      </w:r>
    </w:p>
    <w:p w:rsidR="00000000" w:rsidDel="00000000" w:rsidP="00000000" w:rsidRDefault="00000000" w:rsidRPr="00000000" w14:paraId="00000062">
      <w:pPr>
        <w:pageBreakBefore w:val="0"/>
        <w:numPr>
          <w:ilvl w:val="0"/>
          <w:numId w:val="3"/>
        </w:numPr>
        <w:ind w:left="720" w:hanging="360"/>
        <w:rPr>
          <w:rFonts w:ascii="Lato" w:cs="Lato" w:eastAsia="Lato" w:hAnsi="Lato"/>
          <w:color w:val="2d3b45"/>
          <w:sz w:val="24"/>
          <w:szCs w:val="24"/>
          <w:highlight w:val="white"/>
          <w:u w:val="none"/>
        </w:rPr>
      </w:pPr>
      <w:hyperlink r:id="rId20">
        <w:r w:rsidDel="00000000" w:rsidR="00000000" w:rsidRPr="00000000">
          <w:rPr>
            <w:rFonts w:ascii="Lato" w:cs="Lato" w:eastAsia="Lato" w:hAnsi="Lato"/>
            <w:color w:val="1155cc"/>
            <w:sz w:val="24"/>
            <w:szCs w:val="24"/>
            <w:highlight w:val="white"/>
            <w:u w:val="single"/>
            <w:rtl w:val="0"/>
          </w:rPr>
          <w:t xml:space="preserve">https://wonder.cdc.gov/</w:t>
        </w:r>
      </w:hyperlink>
      <w:r w:rsidDel="00000000" w:rsidR="00000000" w:rsidRPr="00000000">
        <w:rPr>
          <w:rtl w:val="0"/>
        </w:rPr>
      </w:r>
    </w:p>
    <w:p w:rsidR="00000000" w:rsidDel="00000000" w:rsidP="00000000" w:rsidRDefault="00000000" w:rsidRPr="00000000" w14:paraId="00000063">
      <w:pPr>
        <w:pageBreakBefore w:val="0"/>
        <w:numPr>
          <w:ilvl w:val="0"/>
          <w:numId w:val="3"/>
        </w:numPr>
        <w:ind w:left="720" w:hanging="360"/>
        <w:rPr>
          <w:rFonts w:ascii="Lato" w:cs="Lato" w:eastAsia="Lato" w:hAnsi="Lato"/>
          <w:color w:val="2d3b45"/>
          <w:sz w:val="24"/>
          <w:szCs w:val="24"/>
          <w:highlight w:val="white"/>
          <w:u w:val="none"/>
        </w:rPr>
      </w:pPr>
      <w:hyperlink r:id="rId21">
        <w:r w:rsidDel="00000000" w:rsidR="00000000" w:rsidRPr="00000000">
          <w:rPr>
            <w:rFonts w:ascii="Lato" w:cs="Lato" w:eastAsia="Lato" w:hAnsi="Lato"/>
            <w:color w:val="1155cc"/>
            <w:sz w:val="24"/>
            <w:szCs w:val="24"/>
            <w:highlight w:val="white"/>
            <w:u w:val="single"/>
            <w:rtl w:val="0"/>
          </w:rPr>
          <w:t xml:space="preserve">https://svi.cdc.gov/</w:t>
        </w:r>
      </w:hyperlink>
      <w:r w:rsidDel="00000000" w:rsidR="00000000" w:rsidRPr="00000000">
        <w:rPr>
          <w:rtl w:val="0"/>
        </w:rPr>
      </w:r>
    </w:p>
    <w:p w:rsidR="00000000" w:rsidDel="00000000" w:rsidP="00000000" w:rsidRDefault="00000000" w:rsidRPr="00000000" w14:paraId="00000064">
      <w:pPr>
        <w:pageBreakBefore w:val="0"/>
        <w:numPr>
          <w:ilvl w:val="0"/>
          <w:numId w:val="3"/>
        </w:numPr>
        <w:ind w:left="720" w:hanging="360"/>
        <w:rPr>
          <w:rFonts w:ascii="Lato" w:cs="Lato" w:eastAsia="Lato" w:hAnsi="Lato"/>
          <w:color w:val="2d3b45"/>
          <w:sz w:val="24"/>
          <w:szCs w:val="24"/>
          <w:highlight w:val="white"/>
          <w:u w:val="none"/>
        </w:rPr>
      </w:pPr>
      <w:hyperlink r:id="rId22">
        <w:r w:rsidDel="00000000" w:rsidR="00000000" w:rsidRPr="00000000">
          <w:rPr>
            <w:rFonts w:ascii="Lato" w:cs="Lato" w:eastAsia="Lato" w:hAnsi="Lato"/>
            <w:color w:val="1155cc"/>
            <w:sz w:val="24"/>
            <w:szCs w:val="24"/>
            <w:highlight w:val="white"/>
            <w:u w:val="single"/>
            <w:rtl w:val="0"/>
          </w:rPr>
          <w:t xml:space="preserve">https://data.cdc.gov/</w:t>
        </w:r>
      </w:hyperlink>
      <w:r w:rsidDel="00000000" w:rsidR="00000000" w:rsidRPr="00000000">
        <w:rPr>
          <w:rtl w:val="0"/>
        </w:rPr>
      </w:r>
    </w:p>
    <w:p w:rsidR="00000000" w:rsidDel="00000000" w:rsidP="00000000" w:rsidRDefault="00000000" w:rsidRPr="00000000" w14:paraId="00000065">
      <w:pPr>
        <w:pageBreakBefore w:val="0"/>
        <w:numPr>
          <w:ilvl w:val="0"/>
          <w:numId w:val="3"/>
        </w:numPr>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BRFSS (The Behavioral Risk Factor Surveillance System)</w:t>
      </w:r>
    </w:p>
    <w:p w:rsidR="00000000" w:rsidDel="00000000" w:rsidP="00000000" w:rsidRDefault="00000000" w:rsidRPr="00000000" w14:paraId="00000066">
      <w:pPr>
        <w:pageBreakBefore w:val="0"/>
        <w:numPr>
          <w:ilvl w:val="1"/>
          <w:numId w:val="3"/>
        </w:numPr>
        <w:ind w:left="1440" w:hanging="360"/>
        <w:rPr>
          <w:rFonts w:ascii="Lato" w:cs="Lato" w:eastAsia="Lato" w:hAnsi="Lato"/>
          <w:color w:val="2d3b45"/>
          <w:sz w:val="24"/>
          <w:szCs w:val="24"/>
          <w:highlight w:val="white"/>
          <w:u w:val="none"/>
        </w:rPr>
      </w:pPr>
      <w:r w:rsidDel="00000000" w:rsidR="00000000" w:rsidRPr="00000000">
        <w:rPr>
          <w:rFonts w:ascii="Lato" w:cs="Lato" w:eastAsia="Lato" w:hAnsi="Lato"/>
          <w:color w:val="2d3b45"/>
          <w:sz w:val="24"/>
          <w:szCs w:val="24"/>
          <w:highlight w:val="white"/>
          <w:rtl w:val="0"/>
        </w:rPr>
        <w:t xml:space="preserve">https://www.cdc.gov/brfss/index.html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c4c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nder.cdc.gov/" TargetMode="External"/><Relationship Id="rId11" Type="http://schemas.openxmlformats.org/officeDocument/2006/relationships/hyperlink" Target="https://www.cdc.gov/" TargetMode="External"/><Relationship Id="rId22" Type="http://schemas.openxmlformats.org/officeDocument/2006/relationships/hyperlink" Target="https://data.cdc.gov/" TargetMode="External"/><Relationship Id="rId10" Type="http://schemas.openxmlformats.org/officeDocument/2006/relationships/hyperlink" Target="https://www.cdcfoundation.org/" TargetMode="External"/><Relationship Id="rId21" Type="http://schemas.openxmlformats.org/officeDocument/2006/relationships/hyperlink" Target="https://svi.cdc.gov/" TargetMode="External"/><Relationship Id="rId13" Type="http://schemas.openxmlformats.org/officeDocument/2006/relationships/hyperlink" Target="https://www.cdcfoundation.org/" TargetMode="External"/><Relationship Id="rId12" Type="http://schemas.openxmlformats.org/officeDocument/2006/relationships/hyperlink" Target="https://www.rwjf.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wjf.org/" TargetMode="External"/><Relationship Id="rId15" Type="http://schemas.openxmlformats.org/officeDocument/2006/relationships/hyperlink" Target="https://nihcm.org/publications/the-impact-of-the-pandemic-on-the-mental-health-of-children-youth?utm_source=NIHCM+Foundation&amp;utm_campaign=a90d437f97-052421_Children_MentalHealth_Infographic&amp;utm_medium=email&amp;utm_term=0_6f88de9846-a90d437f97-167823560" TargetMode="External"/><Relationship Id="rId14" Type="http://schemas.openxmlformats.org/officeDocument/2006/relationships/hyperlink" Target="https://svi.cdc.gov/Documents/Data/2018_SVI_Data/SVI2018Documentation.pdf" TargetMode="External"/><Relationship Id="rId17" Type="http://schemas.openxmlformats.org/officeDocument/2006/relationships/hyperlink" Target="https://www.icpsr.umich.edu/web/pages/" TargetMode="External"/><Relationship Id="rId16" Type="http://schemas.openxmlformats.org/officeDocument/2006/relationships/hyperlink" Target="https://www.unitedwayatlanta.org/child-well-being-map/" TargetMode="External"/><Relationship Id="rId5" Type="http://schemas.openxmlformats.org/officeDocument/2006/relationships/styles" Target="styles.xml"/><Relationship Id="rId19" Type="http://schemas.openxmlformats.org/officeDocument/2006/relationships/hyperlink" Target="http://www.countyhealthrankings.org/" TargetMode="External"/><Relationship Id="rId6" Type="http://schemas.openxmlformats.org/officeDocument/2006/relationships/hyperlink" Target="https://arcg.is/PDiTG" TargetMode="External"/><Relationship Id="rId18" Type="http://schemas.openxmlformats.org/officeDocument/2006/relationships/hyperlink" Target="https://factfinder.cencus.gov/" TargetMode="External"/><Relationship Id="rId7" Type="http://schemas.openxmlformats.org/officeDocument/2006/relationships/hyperlink" Target="https://www.cdc.gov/places" TargetMode="External"/><Relationship Id="rId8" Type="http://schemas.openxmlformats.org/officeDocument/2006/relationships/hyperlink" Target="https://www.cdc.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