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A69B" w14:textId="39A4F567" w:rsidR="00B26A0E" w:rsidRDefault="00B26A0E" w:rsidP="008D532E">
      <w:r>
        <w:t>Chelsea Hefferin</w:t>
      </w:r>
      <w:r>
        <w:br/>
        <w:t>CSD380-M320</w:t>
      </w:r>
      <w:r>
        <w:br/>
        <w:t>Professor Woods</w:t>
      </w:r>
      <w:r>
        <w:br/>
        <w:t>18</w:t>
      </w:r>
      <w:r w:rsidRPr="00B26A0E">
        <w:rPr>
          <w:vertAlign w:val="superscript"/>
        </w:rPr>
        <w:t>th</w:t>
      </w:r>
      <w:r>
        <w:t xml:space="preserve"> May 2025</w:t>
      </w:r>
    </w:p>
    <w:p w14:paraId="7E508F5E" w14:textId="05D170F2" w:rsidR="00B26A0E" w:rsidRDefault="00B26A0E" w:rsidP="00B26A0E">
      <w:pPr>
        <w:jc w:val="center"/>
      </w:pPr>
      <w:r w:rsidRPr="00B26A0E">
        <w:t>Compliance</w:t>
      </w:r>
    </w:p>
    <w:p w14:paraId="0442BB63" w14:textId="3F8B9F18" w:rsidR="00B26A0E" w:rsidRDefault="00706881" w:rsidP="00B26A0E">
      <w:r w:rsidRPr="00706881">
        <w:t>Chapter 23 of The DevOps Handbook covers how high-performing organizations implement DevOps practices in highly regulated and mission</w:t>
      </w:r>
      <w:r>
        <w:t xml:space="preserve"> </w:t>
      </w:r>
      <w:r w:rsidRPr="00706881">
        <w:t>critical systems. Two seminal case studies</w:t>
      </w:r>
      <w:r>
        <w:t xml:space="preserve"> </w:t>
      </w:r>
      <w:r w:rsidRPr="00706881">
        <w:t>"Providing Compliance in Regulated Environments" and "Relying on Production Telemetry for ATM Systems"</w:t>
      </w:r>
      <w:r>
        <w:t xml:space="preserve"> </w:t>
      </w:r>
      <w:r w:rsidRPr="00706881">
        <w:t xml:space="preserve">demonstrate how DevOps can be successfully applied where stability, compliance, and security are </w:t>
      </w:r>
      <w:proofErr w:type="spellStart"/>
      <w:proofErr w:type="gramStart"/>
      <w:r w:rsidRPr="00706881">
        <w:t>non</w:t>
      </w:r>
      <w:r>
        <w:t xml:space="preserve"> </w:t>
      </w:r>
      <w:r w:rsidRPr="00706881">
        <w:t>negotiable</w:t>
      </w:r>
      <w:proofErr w:type="spellEnd"/>
      <w:proofErr w:type="gramEnd"/>
      <w:r w:rsidRPr="00706881">
        <w:t xml:space="preserve">. These case studies debunk the myth that DevOps is only for startups or </w:t>
      </w:r>
      <w:proofErr w:type="spellStart"/>
      <w:proofErr w:type="gramStart"/>
      <w:r w:rsidRPr="00706881">
        <w:t>non</w:t>
      </w:r>
      <w:r>
        <w:t xml:space="preserve"> </w:t>
      </w:r>
      <w:r w:rsidRPr="00706881">
        <w:t>regulated</w:t>
      </w:r>
      <w:proofErr w:type="spellEnd"/>
      <w:proofErr w:type="gramEnd"/>
      <w:r w:rsidRPr="00706881">
        <w:t xml:space="preserve"> firms. The following is a discussion of the primary findings and major lessons learned from each case study.</w:t>
      </w:r>
      <w:r>
        <w:br/>
      </w:r>
    </w:p>
    <w:p w14:paraId="7DDD8715" w14:textId="161585F9" w:rsidR="00706881" w:rsidRDefault="00706881" w:rsidP="00706881">
      <w:r w:rsidRPr="00706881">
        <w:t>Case Study 1: Providing Compliance in Regulated Environments</w:t>
      </w:r>
      <w:r>
        <w:br/>
      </w:r>
      <w:r w:rsidR="004F70AD">
        <w:t>Main</w:t>
      </w:r>
      <w:r>
        <w:t xml:space="preserve"> Points</w:t>
      </w:r>
    </w:p>
    <w:p w14:paraId="1F94635C" w14:textId="77777777" w:rsidR="004F70AD" w:rsidRDefault="00706881" w:rsidP="004F70AD">
      <w:r>
        <w:t>Capital One is a compliance and regulation-heavy financial institution under the purview of standards like SOX (Sarbanes-Oxley) and FFIEC (Federal Financial Institutions Examination Council) guidelines.</w:t>
      </w:r>
      <w:r>
        <w:br/>
      </w:r>
      <w:r>
        <w:t>Compliance procedures that came before were lengthy and laborious in manual signoffs and documentation, creating bottlenecks in development and delivery.</w:t>
      </w:r>
      <w:r>
        <w:t xml:space="preserve"> </w:t>
      </w:r>
      <w:r>
        <w:br/>
      </w:r>
      <w:r>
        <w:t>The firm adopted DevOps practices by automating compliance and adding security and auditing controls into their software delivery pipelines as an inherent part of their pipeline.</w:t>
      </w:r>
      <w:r>
        <w:t xml:space="preserve"> </w:t>
      </w:r>
      <w:r>
        <w:t>They used infrastructure as code (</w:t>
      </w:r>
      <w:proofErr w:type="spellStart"/>
      <w:r>
        <w:t>IaC</w:t>
      </w:r>
      <w:proofErr w:type="spellEnd"/>
      <w:r>
        <w:t>) and version-controlled settings to obtain reproducibility and traceability of the deployments.</w:t>
      </w:r>
      <w:r>
        <w:t xml:space="preserve"> </w:t>
      </w:r>
      <w:r>
        <w:br/>
      </w:r>
      <w:r>
        <w:t>Real</w:t>
      </w:r>
      <w:r>
        <w:t xml:space="preserve"> t</w:t>
      </w:r>
      <w:r>
        <w:t>ime audit evidence was automatically generated from the deployment pipeline, with the advantage of reducing the manual effort on both the auditors and the engineers.</w:t>
      </w:r>
      <w:r w:rsidR="004F70AD">
        <w:br/>
      </w:r>
      <w:r w:rsidR="004F70AD">
        <w:br/>
      </w:r>
      <w:r w:rsidR="004F70AD">
        <w:t>Lessons Learned</w:t>
      </w:r>
    </w:p>
    <w:p w14:paraId="07D7F2AB" w14:textId="2AE0D716" w:rsidR="004F70AD" w:rsidRDefault="004F70AD" w:rsidP="004F70AD">
      <w:r>
        <w:t>Automation Improves Auditability: With the automation of security scans, compliance scans, and logging, Capital One not only achieved speed but also improved transparency and audit readiness.</w:t>
      </w:r>
      <w:r>
        <w:br/>
      </w:r>
      <w:r>
        <w:t xml:space="preserve">Infrastructure as Code Promotes Consistency: </w:t>
      </w:r>
      <w:proofErr w:type="spellStart"/>
      <w:r>
        <w:t>IaC</w:t>
      </w:r>
      <w:proofErr w:type="spellEnd"/>
      <w:r>
        <w:t xml:space="preserve"> allowed the company to treat environments as immutable artifacts, drastically reducing drift and human error.</w:t>
      </w:r>
      <w:r>
        <w:br/>
      </w:r>
      <w:r>
        <w:t>Shift-Left Compliance: Incorporating compliance checks sooner in the delivery process identified issues sooner and rendered compliance not a last-minute hurdle.</w:t>
      </w:r>
      <w:r>
        <w:br/>
      </w:r>
      <w:r>
        <w:lastRenderedPageBreak/>
        <w:t>DevOps Is Not Incompatible with Regulation: The case dispels the myth that DevOps is impossible in regulated environments. On the contrary, automation improves both speed and control.</w:t>
      </w:r>
      <w:r>
        <w:br/>
      </w:r>
      <w:r>
        <w:br/>
      </w:r>
      <w:r w:rsidRPr="004F70AD">
        <w:t>Case Study 2: Relying on Production Telemetry for ATM Systems</w:t>
      </w:r>
      <w:r>
        <w:br/>
      </w:r>
      <w:r>
        <w:t>Main Points</w:t>
      </w:r>
      <w:r>
        <w:br/>
      </w:r>
      <w:r>
        <w:t>Nordea Bank's ATM infrastructure is mission-critical applications that require near-flawless uptime and performance.</w:t>
      </w:r>
      <w:r>
        <w:br/>
      </w:r>
      <w:r>
        <w:t>They had issues with monitoring and debugging issues in production due to fragmented or delayed telemetry data.</w:t>
      </w:r>
      <w:r>
        <w:br/>
      </w:r>
      <w:r>
        <w:t>The bank addressed this by implementing real-time production telemetry, which enabled developers and operators to see detailed system performance data.</w:t>
      </w:r>
      <w:r>
        <w:br/>
      </w:r>
      <w:r>
        <w:t>This telemetry data facilitated faster incident response, better usage pattern insights, and continuous optimization of services.</w:t>
      </w:r>
      <w:r>
        <w:br/>
      </w:r>
      <w:r>
        <w:t>The staff employed "production-first" thinking, where development was informed by real-world facts, and not merely theoretical requirements or speculations.</w:t>
      </w:r>
      <w:r w:rsidRPr="004F70AD">
        <w:t xml:space="preserve"> </w:t>
      </w:r>
      <w:r>
        <w:br/>
      </w:r>
      <w:r>
        <w:br/>
      </w:r>
      <w:r>
        <w:t>Lessons Learned</w:t>
      </w:r>
      <w:r>
        <w:br/>
      </w:r>
      <w:r>
        <w:t>Observability Matters in Mission-Critical Systems: Full-stack telemetry enables teams to observe, discover, and fix issues prior to hitting customers.</w:t>
      </w:r>
      <w:r>
        <w:br/>
      </w:r>
      <w:r>
        <w:t>Empowering Developers with Production Insights: Developers who are aware of how their code performs in production can make better design decisions and make the system more stable.</w:t>
      </w:r>
      <w:r>
        <w:br/>
      </w:r>
      <w:r>
        <w:t>Telemetry Enables Continuous Refinement: Feedback loops created by using production data enable teams to improve their systems incrementally.</w:t>
      </w:r>
      <w:r>
        <w:br/>
      </w:r>
      <w:r>
        <w:t>Cultural Transformation Is Key: A transition to a telemetry-driven strategy required cross-functional collaboration and cultural change towards shared responsibility for operations.</w:t>
      </w:r>
    </w:p>
    <w:p w14:paraId="7C35732B" w14:textId="02854864" w:rsidR="00706881" w:rsidRDefault="00706881" w:rsidP="004F70AD"/>
    <w:p w14:paraId="5EA532A4" w14:textId="1AF70304" w:rsidR="004F70AD" w:rsidRPr="008D532E" w:rsidRDefault="004F70AD" w:rsidP="004F70AD">
      <w:r w:rsidRPr="004F70AD">
        <w:t>These case studies show that DevOps is not limited by regulatory mandates or system criticality. From improving compliance workflow at Capital One to system reliability at Nordea Bank, DevOps practices such as automation, infrastructure as code, telemetry, and cultural alignment can mean innovation and stability. The larger lesson is clear: DevOps enables companies to move faster, more securely, and more smartly</w:t>
      </w:r>
      <w:r>
        <w:t xml:space="preserve"> </w:t>
      </w:r>
      <w:r w:rsidRPr="004F70AD">
        <w:t>even in the toughest environments.</w:t>
      </w:r>
    </w:p>
    <w:sectPr w:rsidR="004F70AD" w:rsidRPr="008D5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5BC1"/>
    <w:multiLevelType w:val="hybridMultilevel"/>
    <w:tmpl w:val="A9DAA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652DA0"/>
    <w:multiLevelType w:val="multilevel"/>
    <w:tmpl w:val="0FC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13968">
    <w:abstractNumId w:val="1"/>
  </w:num>
  <w:num w:numId="2" w16cid:durableId="33974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0B"/>
    <w:rsid w:val="0015465E"/>
    <w:rsid w:val="002F37B8"/>
    <w:rsid w:val="004F70AD"/>
    <w:rsid w:val="005B2B99"/>
    <w:rsid w:val="00631E4F"/>
    <w:rsid w:val="00706881"/>
    <w:rsid w:val="00720F32"/>
    <w:rsid w:val="007378A2"/>
    <w:rsid w:val="008D532E"/>
    <w:rsid w:val="00A3217E"/>
    <w:rsid w:val="00A5348D"/>
    <w:rsid w:val="00AD2966"/>
    <w:rsid w:val="00B26A0E"/>
    <w:rsid w:val="00B532E5"/>
    <w:rsid w:val="00E05F58"/>
    <w:rsid w:val="00E63EF9"/>
    <w:rsid w:val="00EC0503"/>
    <w:rsid w:val="00FB2B0B"/>
    <w:rsid w:val="00FB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E283"/>
  <w15:chartTrackingRefBased/>
  <w15:docId w15:val="{D553F820-2383-491B-B8E5-241970CC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0B"/>
    <w:rPr>
      <w:rFonts w:eastAsiaTheme="majorEastAsia" w:cstheme="majorBidi"/>
      <w:color w:val="272727" w:themeColor="text1" w:themeTint="D8"/>
    </w:rPr>
  </w:style>
  <w:style w:type="paragraph" w:styleId="Title">
    <w:name w:val="Title"/>
    <w:basedOn w:val="Normal"/>
    <w:next w:val="Normal"/>
    <w:link w:val="TitleChar"/>
    <w:uiPriority w:val="10"/>
    <w:qFormat/>
    <w:rsid w:val="00FB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0B"/>
    <w:pPr>
      <w:spacing w:before="160"/>
      <w:jc w:val="center"/>
    </w:pPr>
    <w:rPr>
      <w:i/>
      <w:iCs/>
      <w:color w:val="404040" w:themeColor="text1" w:themeTint="BF"/>
    </w:rPr>
  </w:style>
  <w:style w:type="character" w:customStyle="1" w:styleId="QuoteChar">
    <w:name w:val="Quote Char"/>
    <w:basedOn w:val="DefaultParagraphFont"/>
    <w:link w:val="Quote"/>
    <w:uiPriority w:val="29"/>
    <w:rsid w:val="00FB2B0B"/>
    <w:rPr>
      <w:i/>
      <w:iCs/>
      <w:color w:val="404040" w:themeColor="text1" w:themeTint="BF"/>
    </w:rPr>
  </w:style>
  <w:style w:type="paragraph" w:styleId="ListParagraph">
    <w:name w:val="List Paragraph"/>
    <w:basedOn w:val="Normal"/>
    <w:uiPriority w:val="34"/>
    <w:qFormat/>
    <w:rsid w:val="00FB2B0B"/>
    <w:pPr>
      <w:ind w:left="720"/>
      <w:contextualSpacing/>
    </w:pPr>
  </w:style>
  <w:style w:type="character" w:styleId="IntenseEmphasis">
    <w:name w:val="Intense Emphasis"/>
    <w:basedOn w:val="DefaultParagraphFont"/>
    <w:uiPriority w:val="21"/>
    <w:qFormat/>
    <w:rsid w:val="00FB2B0B"/>
    <w:rPr>
      <w:i/>
      <w:iCs/>
      <w:color w:val="0F4761" w:themeColor="accent1" w:themeShade="BF"/>
    </w:rPr>
  </w:style>
  <w:style w:type="paragraph" w:styleId="IntenseQuote">
    <w:name w:val="Intense Quote"/>
    <w:basedOn w:val="Normal"/>
    <w:next w:val="Normal"/>
    <w:link w:val="IntenseQuoteChar"/>
    <w:uiPriority w:val="30"/>
    <w:qFormat/>
    <w:rsid w:val="00FB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B0B"/>
    <w:rPr>
      <w:i/>
      <w:iCs/>
      <w:color w:val="0F4761" w:themeColor="accent1" w:themeShade="BF"/>
    </w:rPr>
  </w:style>
  <w:style w:type="character" w:styleId="IntenseReference">
    <w:name w:val="Intense Reference"/>
    <w:basedOn w:val="DefaultParagraphFont"/>
    <w:uiPriority w:val="32"/>
    <w:qFormat/>
    <w:rsid w:val="00FB2B0B"/>
    <w:rPr>
      <w:b/>
      <w:bCs/>
      <w:smallCaps/>
      <w:color w:val="0F4761" w:themeColor="accent1" w:themeShade="BF"/>
      <w:spacing w:val="5"/>
    </w:rPr>
  </w:style>
  <w:style w:type="character" w:styleId="Hyperlink">
    <w:name w:val="Hyperlink"/>
    <w:basedOn w:val="DefaultParagraphFont"/>
    <w:uiPriority w:val="99"/>
    <w:unhideWhenUsed/>
    <w:rsid w:val="00FB2B0B"/>
    <w:rPr>
      <w:color w:val="467886" w:themeColor="hyperlink"/>
      <w:u w:val="single"/>
    </w:rPr>
  </w:style>
  <w:style w:type="character" w:styleId="UnresolvedMention">
    <w:name w:val="Unresolved Mention"/>
    <w:basedOn w:val="DefaultParagraphFont"/>
    <w:uiPriority w:val="99"/>
    <w:semiHidden/>
    <w:unhideWhenUsed/>
    <w:rsid w:val="00FB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93405">
      <w:bodyDiv w:val="1"/>
      <w:marLeft w:val="0"/>
      <w:marRight w:val="0"/>
      <w:marTop w:val="0"/>
      <w:marBottom w:val="0"/>
      <w:divBdr>
        <w:top w:val="none" w:sz="0" w:space="0" w:color="auto"/>
        <w:left w:val="none" w:sz="0" w:space="0" w:color="auto"/>
        <w:bottom w:val="none" w:sz="0" w:space="0" w:color="auto"/>
        <w:right w:val="none" w:sz="0" w:space="0" w:color="auto"/>
      </w:divBdr>
    </w:div>
    <w:div w:id="1292856198">
      <w:bodyDiv w:val="1"/>
      <w:marLeft w:val="0"/>
      <w:marRight w:val="0"/>
      <w:marTop w:val="0"/>
      <w:marBottom w:val="0"/>
      <w:divBdr>
        <w:top w:val="none" w:sz="0" w:space="0" w:color="auto"/>
        <w:left w:val="none" w:sz="0" w:space="0" w:color="auto"/>
        <w:bottom w:val="none" w:sz="0" w:space="0" w:color="auto"/>
        <w:right w:val="none" w:sz="0" w:space="0" w:color="auto"/>
      </w:divBdr>
    </w:div>
    <w:div w:id="1568764077">
      <w:bodyDiv w:val="1"/>
      <w:marLeft w:val="0"/>
      <w:marRight w:val="0"/>
      <w:marTop w:val="0"/>
      <w:marBottom w:val="0"/>
      <w:divBdr>
        <w:top w:val="none" w:sz="0" w:space="0" w:color="auto"/>
        <w:left w:val="none" w:sz="0" w:space="0" w:color="auto"/>
        <w:bottom w:val="none" w:sz="0" w:space="0" w:color="auto"/>
        <w:right w:val="none" w:sz="0" w:space="0" w:color="auto"/>
      </w:divBdr>
    </w:div>
    <w:div w:id="1766530649">
      <w:bodyDiv w:val="1"/>
      <w:marLeft w:val="0"/>
      <w:marRight w:val="0"/>
      <w:marTop w:val="0"/>
      <w:marBottom w:val="0"/>
      <w:divBdr>
        <w:top w:val="none" w:sz="0" w:space="0" w:color="auto"/>
        <w:left w:val="none" w:sz="0" w:space="0" w:color="auto"/>
        <w:bottom w:val="none" w:sz="0" w:space="0" w:color="auto"/>
        <w:right w:val="none" w:sz="0" w:space="0" w:color="auto"/>
      </w:divBdr>
    </w:div>
    <w:div w:id="1891068329">
      <w:bodyDiv w:val="1"/>
      <w:marLeft w:val="0"/>
      <w:marRight w:val="0"/>
      <w:marTop w:val="0"/>
      <w:marBottom w:val="0"/>
      <w:divBdr>
        <w:top w:val="none" w:sz="0" w:space="0" w:color="auto"/>
        <w:left w:val="none" w:sz="0" w:space="0" w:color="auto"/>
        <w:bottom w:val="none" w:sz="0" w:space="0" w:color="auto"/>
        <w:right w:val="none" w:sz="0" w:space="0" w:color="auto"/>
      </w:divBdr>
    </w:div>
    <w:div w:id="213077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4876</TotalTime>
  <Pages>2</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Hefferin</dc:creator>
  <cp:keywords/>
  <dc:description/>
  <cp:lastModifiedBy>Chelsea Hefferin</cp:lastModifiedBy>
  <cp:revision>1</cp:revision>
  <dcterms:created xsi:type="dcterms:W3CDTF">2025-05-15T18:59:00Z</dcterms:created>
  <dcterms:modified xsi:type="dcterms:W3CDTF">2025-05-19T04:15:00Z</dcterms:modified>
</cp:coreProperties>
</file>