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5660"/>
        <w:gridCol w:w="5420"/>
        <w:gridCol w:w="5460"/>
        <w:gridCol w:w="5240"/>
        <w:tblGridChange w:id="0">
          <w:tblGrid>
            <w:gridCol w:w="1880"/>
            <w:gridCol w:w="5660"/>
            <w:gridCol w:w="5420"/>
            <w:gridCol w:w="5460"/>
            <w:gridCol w:w="52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highlight w:val="white"/>
                <w:rtl w:val="0"/>
              </w:rPr>
              <w:t xml:space="preserve">Business Technology Platform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General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a BTP is, its purpose.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z w:val="17"/>
                <w:szCs w:val="17"/>
                <w:highlight w:val="white"/>
                <w:rtl w:val="0"/>
              </w:rPr>
              <w:t xml:space="preserve">1) Connect (to your systems)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Cloud Connector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SAP Integration Suite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-..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z w:val="17"/>
                <w:szCs w:val="17"/>
                <w:highlight w:val="white"/>
                <w:rtl w:val="0"/>
              </w:rPr>
              <w:t xml:space="preserve">2) Build endpoint</w:t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 (choose your programming model)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Workflow Management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Cloud Application Programming Model (CAP): Java, NodeJS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ABAP Restful Programming Model (RAP): ABAP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-..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z w:val="17"/>
                <w:szCs w:val="17"/>
                <w:highlight w:val="white"/>
                <w:rtl w:val="0"/>
              </w:rPr>
              <w:t xml:space="preserve">3) Add Channels (add a GUI)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SAP UI5, Fiori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– Mobile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-..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z w:val="17"/>
                <w:szCs w:val="17"/>
                <w:highlight w:val="white"/>
                <w:rtl w:val="0"/>
              </w:rPr>
              <w:t xml:space="preserve">4) Deploy and operate</w:t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 (choose your runtime)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7"/>
                <w:szCs w:val="17"/>
                <w:highlight w:val="white"/>
                <w:rtl w:val="0"/>
              </w:rPr>
              <w:t xml:space="preserve">see next chapter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what platform as a service means.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environments BTP has and purpose / use cases for each one: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CF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21"/>
                <w:szCs w:val="21"/>
                <w:highlight w:val="white"/>
                <w:rtl w:val="0"/>
              </w:rPr>
              <w:t xml:space="preserve">Cloud Foundry (CF) is an open-source, industry standard for multi-cloud environments</w:t>
              <w:br w:type="textWrapping"/>
              <w:t xml:space="preserve">Unlike Neo, which is hosted by SAP, CF can be hosted on any of the big 4 hyperscalers (AWS, Microsoft Azure, Google Cloud Platform and Alibaba Cloud, as well as OpenStack. The PaaS (platform as a service) offering hides the runtime and OS (and everything underneath, like virtualization and bare-metal), so that you can focus on your application and the data. CF also covers the deployment and management of the apps, taking care of dependencies via so-called “buildpacks”: languages like Java, Node.js, Ruby and others are supported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NEO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21"/>
                <w:szCs w:val="21"/>
                <w:highlight w:val="white"/>
                <w:rtl w:val="0"/>
              </w:rPr>
              <w:t xml:space="preserve">supports Java, SAP HANA XS and HTML5</w:t>
              <w:br w:type="textWrapping"/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https://help.sap.com/viewer/b017fc4f944e4eb5b31501b3d1b6a1f0/Cloud/en-US/b02b326062c34bf19ea1ab395bc9891f.html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ABAP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Kyma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the aspects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BTP account 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ability to explain and name the purpose of each: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Global Account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There are two types of global accounts: enterprise accounts (paid) and trial accounts (free)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Subaccount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Subaccounts let you structure a global account according to your organization’s and project’s requirements with regard to members, authorizations, and entitlements.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Space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spaces, which is where application development, deployment, and maintenance takes 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Entitlement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the service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Quota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 quota represents the numeric quantity that defines the maximum allowed consumption of a resource.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Directories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a multi tenancy is; details around it: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Provider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Consumer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Methods to achieve db/persistency multi tenancy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How to setup a subscription for an application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How to onboard a tenant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SaaS Provisioning service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_empty_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Multi Target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Multi target application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is.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main components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of the mta.yml file: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Modules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Parameters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is module and main aspects of it: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Module name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Specific params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Hooks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Build params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the resources aspects: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MTA Extension descriptor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concept of Blue-Green Deployment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to configure Cross-MTA Dependencies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to deploy Docker images as part of a Multitarget application and why it’s useful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_empty_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Application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what Approuter is and its main capabilities.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Understand difference between managed and standalone approuters.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how to configure Approuter: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authorisation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destinations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to configure Approuter in details: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welcomeFile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authMethod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websockets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errorPage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CORS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Understand how session handling works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how to make a sessions backup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to integrate Aprouter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with a Business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how to expose Approuter for SaaS subscription (multitenancy)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_empty_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Authorisation and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Understand difference between authorisation and authentication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what UAA is and its use cases.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Scopes</w:t>
              <w:br w:type="textWrapping"/>
              <w:t xml:space="preserve">role-templates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after="0" w:line="325.71428571428567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tenant-mode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Service provider (SP)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, the server that receives the assertion. This is typically UAA.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Know what IDP is.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Identity provider (IDP)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18"/>
                <w:szCs w:val="18"/>
                <w:highlight w:val="white"/>
                <w:rtl w:val="0"/>
              </w:rPr>
              <w:t xml:space="preserve">, the server that receives the authentication request, authenticates the user and sends the assertion to the SP.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how to setup application security file: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scopes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role-templates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is a role and how to create it.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a Role Collection is and how to create it.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Understand how to use defined scopes/attributes in a code.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Know what JWT is and its structure.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Understand a difference between UAA and XSUAA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Be able to explain who need to create the following XSUAA artifacts and in what precedence: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scopes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Role-templates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 collections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Understand how to configure custom identity provider and map user groups to role collections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How to communicate with XSUAA API and get a JWT via: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Client Credential Grant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Authorisation Code 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_empty_</w:t>
            </w:r>
          </w:p>
        </w:tc>
      </w:tr>
    </w:tbl>
    <w:p w:rsidR="00000000" w:rsidDel="00000000" w:rsidP="00000000" w:rsidRDefault="00000000" w:rsidRPr="00000000" w14:paraId="0000007B">
      <w:pPr>
        <w:spacing w:after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sap.com/viewer/b017fc4f944e4eb5b31501b3d1b6a1f0/Cloud/en-US/b02b326062c34bf19ea1ab395bc9891f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