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funcional de Ventas y Clientes</w:t>
      </w:r>
    </w:p>
    <w:p>
      <w:pPr>
        <w:pStyle w:val="ListBullet"/>
      </w:pPr>
      <w:r>
        <w:t>Audiencia: ejecutivos comerciales, aprobadores, responsables de surtido y supervisores de servicio</w:t>
      </w:r>
    </w:p>
    <w:p>
      <w:pPr>
        <w:pStyle w:val="ListBullet"/>
      </w:pPr>
      <w:r>
        <w:t xml:space="preserve">Alcance por ambiente: Local actual y QA; las mejoras pendientes de promoción se indican expresamente; versión funcional QA </w:t>
      </w:r>
      <w:r>
        <w:rPr>
          <w:rFonts w:ascii="Consolas" w:hAnsi="Consolas"/>
          <w:sz w:val="18"/>
        </w:rPr>
        <w:t>b63cdad</w:t>
      </w:r>
    </w:p>
    <w:p>
      <w:pPr>
        <w:pStyle w:val="ListBullet"/>
      </w:pPr>
      <w:r>
        <w:t>Última revisión: 2026-09-14</w:t>
      </w:r>
    </w:p>
    <w:p>
      <w:pPr>
        <w:pStyle w:val="ListBullet"/>
      </w:pPr>
      <w:r>
        <w:t>Capacidades cubiertas: clientes, cotizaciones, pedidos, surtido por inventario o solicitud a Producción, preparación de entregas, salida física por Almacén, ejecución de servicios y reportes</w:t>
      </w:r>
    </w:p>
    <w:p>
      <w:pPr>
        <w:pStyle w:val="Heading1"/>
      </w:pPr>
      <w:r>
        <w:t>Propósito</w:t>
      </w:r>
    </w:p>
    <w:p>
      <w:r>
        <w:t>Ventas conserva la relación comercial desde el cliente hasta el cumplimiento del pedido. Las partidas físicas se entregan mediante Inventario o Producción; las partidas de servicio generan una orden operativa propia y nunca aparecen en Entregas.</w:t>
      </w:r>
    </w:p>
    <w:p>
      <w:pPr>
        <w:pStyle w:val="Heading1"/>
      </w:pPr>
      <w:r>
        <w:t>Corregir errores de captura</w:t>
      </w:r>
    </w:p>
    <w:p>
      <w:r>
        <w:rPr>
          <w:b/>
        </w:rPr>
        <w:t>Disponible en Local; pendiente de promoción a QA.</w:t>
      </w:r>
      <w:r>
        <w:t xml:space="preserve"> Si un dato es inválido, el formulario muestra una explicación junto al campo y un resumen desde el que puede ir al control correspondiente. Corrija el dato indicado y vuelva a guardar; la captura se conserva mientras el formulario permanezca abierto. En partidas, revise la fila señalada y seleccione nuevamente el registro del catálogo si corresponde.</w:t>
      </w:r>
    </w:p>
    <w:p>
      <w:r>
        <w:t>Los errores de permisos, conexión o reglas generales se muestran como un aviso de la operación. Si no aparece un campo señalado, no cambie datos al azar: revise el aviso y conserve la referencia de correlación para soporte. Corregir un campo no elimina los avisos de los demás. Cerrar el formulario o recargar no garantiza conservar cambios sin guardar.</w:t>
      </w:r>
    </w:p>
    <w:p>
      <w:pPr>
        <w:pStyle w:val="Heading1"/>
      </w:pPr>
      <w:r>
        <w:t>Disponibilidad por ambiente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89"/>
        <w:gridCol w:w="2211"/>
        <w:gridCol w:w="2211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Local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QA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Clientes y contacto principal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Cotizaciones y aprobación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Pedidos y surtido por inventario/producción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Entregas parciales y confirmación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Órdenes de servicio, tiempos, costos y evidencia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Salida física por Almacén y reportes estándar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Devoluciones, factura y cobranza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No 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No disponible</w:t>
            </w:r>
          </w:p>
        </w:tc>
      </w:tr>
    </w:tbl>
    <w:p>
      <w:pPr>
        <w:spacing w:after="0"/>
      </w:pPr>
    </w:p>
    <w:p>
      <w:pPr>
        <w:pStyle w:val="Heading1"/>
      </w:pPr>
      <w:r>
        <w:t>Mapa del módulo</w:t>
      </w:r>
    </w:p>
    <w:p>
      <w:pPr>
        <w:pStyle w:val="ListBullet"/>
      </w:pPr>
      <w:r>
        <w:rPr>
          <w:b/>
        </w:rPr>
        <w:t>Clientes:</w:t>
      </w:r>
      <w:r>
        <w:t xml:space="preserve"> maestro y contacto principal.</w:t>
      </w:r>
    </w:p>
    <w:p>
      <w:pPr>
        <w:pStyle w:val="ListBullet"/>
      </w:pPr>
      <w:r>
        <w:rPr>
          <w:b/>
        </w:rPr>
        <w:t>Cotizaciones:</w:t>
      </w:r>
      <w:r>
        <w:t xml:space="preserve"> propuesta comercial versionada por estado.</w:t>
      </w:r>
    </w:p>
    <w:p>
      <w:pPr>
        <w:pStyle w:val="ListBullet"/>
      </w:pPr>
      <w:r>
        <w:rPr>
          <w:b/>
        </w:rPr>
        <w:t>Pedidos:</w:t>
      </w:r>
      <w:r>
        <w:t xml:space="preserve"> conversión de cotización aprobada y estrategia de cumplimiento.</w:t>
      </w:r>
    </w:p>
    <w:p>
      <w:pPr>
        <w:pStyle w:val="ListBullet"/>
      </w:pPr>
      <w:r>
        <w:rPr>
          <w:b/>
        </w:rPr>
        <w:t>Órdenes de servicio:</w:t>
      </w:r>
      <w:r>
        <w:t xml:space="preserve"> ejecución, responsable, tiempo, costo, evidencia y aceptación.</w:t>
      </w:r>
    </w:p>
    <w:p>
      <w:pPr>
        <w:pStyle w:val="ListBullet"/>
      </w:pPr>
      <w:r>
        <w:rPr>
          <w:b/>
        </w:rPr>
        <w:t>Entregas:</w:t>
      </w:r>
      <w:r>
        <w:t xml:space="preserve"> documentos parciales o totales para partidas físicas.</w:t>
      </w:r>
    </w:p>
    <w:p>
      <w:pPr>
        <w:pStyle w:val="ListBullet"/>
      </w:pPr>
      <w:r>
        <w:rPr>
          <w:b/>
        </w:rPr>
        <w:t>Portada:</w:t>
      </w:r>
      <w:r>
        <w:t xml:space="preserve"> indicadores y reportes estándar de sólo lectura.</w:t>
      </w:r>
    </w:p>
    <w:p>
      <w:pPr>
        <w:pStyle w:val="Heading1"/>
      </w:pPr>
      <w:r>
        <w:t>Códigos y propiedad de referencias</w:t>
      </w:r>
    </w:p>
    <w:p>
      <w:r>
        <w:t>Los folios visibles son independientes de los IDs técnicos. En modo administrado se reservan al guardar; en modo manual se captura un código único, normalizado a mayúsculas. Un reintento con la misma clave recupera el mismo folio. Cambiar el prefijo no renombra documentos existentes.</w:t>
      </w:r>
    </w:p>
    <w:p>
      <w:r>
        <w:t>Ventas conserva snapshots comerciales de producto, cliente, precio y unidad. Producción e Inventario pueden usar códigos distintos; la relación siempre se realiza por ID estable, no por coincidencia de texto.</w:t>
      </w:r>
    </w:p>
    <w:p>
      <w:pPr>
        <w:pStyle w:val="Heading1"/>
      </w:pPr>
      <w:r>
        <w:t>Acceso y prerrequisitos</w:t>
      </w:r>
    </w:p>
    <w:p>
      <w:r>
        <w:t xml:space="preserve">Los permisos se separan por recurso y acción: </w:t>
      </w:r>
      <w:r>
        <w:rPr>
          <w:rFonts w:ascii="Consolas" w:hAnsi="Consolas"/>
          <w:sz w:val="18"/>
        </w:rPr>
        <w:t>sales.customer.*</w:t>
      </w:r>
      <w:r>
        <w:t xml:space="preserve">, </w:t>
      </w:r>
      <w:r>
        <w:rPr>
          <w:rFonts w:ascii="Consolas" w:hAnsi="Consolas"/>
          <w:sz w:val="18"/>
        </w:rPr>
        <w:t>sales.quote.*</w:t>
      </w:r>
      <w:r>
        <w:t xml:space="preserve">, </w:t>
      </w:r>
      <w:r>
        <w:rPr>
          <w:rFonts w:ascii="Consolas" w:hAnsi="Consolas"/>
          <w:sz w:val="18"/>
        </w:rPr>
        <w:t>sales.order.*</w:t>
      </w:r>
      <w:r>
        <w:t xml:space="preserve">, </w:t>
      </w:r>
      <w:r>
        <w:rPr>
          <w:rFonts w:ascii="Consolas" w:hAnsi="Consolas"/>
          <w:sz w:val="18"/>
        </w:rPr>
        <w:t>sales.delivery.*</w:t>
      </w:r>
      <w:r>
        <w:t xml:space="preserve"> y </w:t>
      </w:r>
      <w:r>
        <w:rPr>
          <w:rFonts w:ascii="Consolas" w:hAnsi="Consolas"/>
          <w:sz w:val="18"/>
        </w:rPr>
        <w:t>sales.service_order.*</w:t>
      </w:r>
      <w:r>
        <w:t xml:space="preserve">. Aprobar una cotización no concede configurar surtido; registrar tiempo de servicio no concede aceptarlo. Ventas prepara el documento con </w:t>
      </w:r>
      <w:r>
        <w:rPr>
          <w:rFonts w:ascii="Consolas" w:hAnsi="Consolas"/>
          <w:sz w:val="18"/>
        </w:rPr>
        <w:t>sales.delivery.create</w:t>
      </w:r>
      <w:r>
        <w:t xml:space="preserve">, pero Almacén confirma la salida física con </w:t>
      </w:r>
      <w:r>
        <w:rPr>
          <w:rFonts w:ascii="Consolas" w:hAnsi="Consolas"/>
          <w:sz w:val="18"/>
        </w:rPr>
        <w:t>inventory.movement.create</w:t>
      </w:r>
      <w:r>
        <w:t xml:space="preserve">. Tener únicamente </w:t>
      </w:r>
      <w:r>
        <w:rPr>
          <w:rFonts w:ascii="Consolas" w:hAnsi="Consolas"/>
          <w:sz w:val="18"/>
        </w:rPr>
        <w:t>sales.delivery.confirm</w:t>
      </w:r>
      <w:r>
        <w:t xml:space="preserve"> no permite sustituir la confirmación de Almacén.</w:t>
      </w:r>
    </w:p>
    <w:p>
      <w:r>
        <w:t>Antes de vender:</w:t>
      </w:r>
    </w:p>
    <w:p>
      <w:pPr>
        <w:pStyle w:val="ListBullet"/>
      </w:pPr>
      <w:r>
        <w:t>configure folios, monedas y condiciones comerciales en Administración;</w:t>
      </w:r>
    </w:p>
    <w:p>
      <w:pPr>
        <w:pStyle w:val="ListBullet"/>
      </w:pPr>
      <w:r>
        <w:t>mantenga productos/servicios activos en Producción;</w:t>
      </w:r>
    </w:p>
    <w:p>
      <w:pPr>
        <w:pStyle w:val="ListBullet"/>
      </w:pPr>
      <w:r>
        <w:t>para surtido físico, vincule el producto con un artículo activo de Inventario y la misma unidad;</w:t>
      </w:r>
    </w:p>
    <w:p>
      <w:pPr>
        <w:pStyle w:val="ListBullet"/>
      </w:pPr>
      <w:r>
        <w:t>para servicios, disponga de trabajadores activos elegibles en RH.</w:t>
      </w:r>
    </w:p>
    <w:p>
      <w:pPr>
        <w:pStyle w:val="Heading1"/>
      </w:pPr>
      <w:r>
        <w:t>Cliente y cotización</w:t>
      </w:r>
    </w:p>
    <w:p>
      <w:pPr>
        <w:ind w:left="283" w:hanging="283"/>
      </w:pPr>
      <w:r>
        <w:t>1. Cree el cliente y su contacto principal.</w:t>
      </w:r>
    </w:p>
    <w:p>
      <w:pPr>
        <w:ind w:left="283" w:hanging="283"/>
      </w:pPr>
      <w:r>
        <w:t xml:space="preserve">2. Abra </w:t>
      </w:r>
      <w:r>
        <w:rPr>
          <w:b/>
        </w:rPr>
        <w:t>Cotizaciones</w:t>
      </w:r>
      <w:r>
        <w:t xml:space="preserve"> y seleccione cliente, vigencia, moneda y condiciones.</w:t>
      </w:r>
    </w:p>
    <w:p>
      <w:pPr>
        <w:ind w:left="283" w:hanging="283"/>
      </w:pPr>
      <w:r>
        <w:t>3. Agregue partidas con producto o servicio, cantidad, precio, descuento e impuestos permitidos.</w:t>
      </w:r>
    </w:p>
    <w:p>
      <w:pPr>
        <w:ind w:left="283" w:hanging="283"/>
      </w:pPr>
      <w:r>
        <w:t>4. Guarde el borrador y revise totales.</w:t>
      </w:r>
    </w:p>
    <w:p>
      <w:pPr>
        <w:ind w:left="283" w:hanging="283"/>
      </w:pPr>
      <w:r>
        <w:t xml:space="preserve">5. En la tarjeta en </w:t>
      </w:r>
      <w:r>
        <w:rPr>
          <w:b/>
        </w:rPr>
        <w:t>Borrador</w:t>
      </w:r>
      <w:r>
        <w:t xml:space="preserve">, pulse </w:t>
      </w:r>
      <w:r>
        <w:rPr>
          <w:b/>
        </w:rPr>
        <w:t>Emitir cotización</w:t>
      </w:r>
      <w:r>
        <w:t xml:space="preserve"> para pasar a </w:t>
      </w:r>
      <w:r>
        <w:rPr>
          <w:b/>
        </w:rPr>
        <w:t>Cotizada</w:t>
      </w:r>
      <w:r>
        <w:t xml:space="preserve">. Requiere </w:t>
      </w:r>
      <w:r>
        <w:rPr>
          <w:rFonts w:ascii="Consolas" w:hAnsi="Consolas"/>
          <w:sz w:val="18"/>
        </w:rPr>
        <w:t>sales.quote.submit</w:t>
      </w:r>
      <w:r>
        <w:t>.</w:t>
      </w:r>
    </w:p>
    <w:p>
      <w:pPr>
        <w:ind w:left="283" w:hanging="283"/>
      </w:pPr>
      <w:r>
        <w:t xml:space="preserve">6. En </w:t>
      </w:r>
      <w:r>
        <w:rPr>
          <w:b/>
        </w:rPr>
        <w:t>Cotizada</w:t>
      </w:r>
      <w:r>
        <w:t xml:space="preserve">, un usuario con </w:t>
      </w:r>
      <w:r>
        <w:rPr>
          <w:rFonts w:ascii="Consolas" w:hAnsi="Consolas"/>
          <w:sz w:val="18"/>
        </w:rPr>
        <w:t>sales.quote.approve</w:t>
      </w:r>
      <w:r>
        <w:t xml:space="preserve"> pulsa </w:t>
      </w:r>
      <w:r>
        <w:rPr>
          <w:b/>
        </w:rPr>
        <w:t>Aprobar cotización</w:t>
      </w:r>
      <w:r>
        <w:t xml:space="preserve">. Sólo entonces queda </w:t>
      </w:r>
      <w:r>
        <w:rPr>
          <w:b/>
        </w:rPr>
        <w:t>Aprobada</w:t>
      </w:r>
      <w:r>
        <w:t xml:space="preserve"> y puede generar un pedido.</w:t>
      </w:r>
    </w:p>
    <w:p>
      <w:pPr>
        <w:ind w:left="283" w:hanging="283"/>
      </w:pPr>
      <w:r>
        <w:t>7. Si vence o deja de aplicar, use la transición explícita; no borre el documento.</w:t>
      </w:r>
    </w:p>
    <w:p>
      <w:r>
        <w:t>No existe un salto directo de Borrador a Aprobada. La tarjeta explica la siguiente acción y orienta cuando falta permiso: solicite la intervención de una persona autorizada o la revisión de permisos en Administración. Editar sólo está disponible en Borrador. Emitir y aprobar revalidan vigencia, cliente, responsable, productos y unidades; si falta un requisito, corrija lo indicado antes de reintentar.</w:t>
      </w:r>
    </w:p>
    <w:p>
      <w:pPr>
        <w:pStyle w:val="Heading1"/>
      </w:pPr>
      <w:r>
        <w:t>Convertir a pedido y definir cumplimiento</w:t>
      </w:r>
    </w:p>
    <w:p>
      <w:r>
        <w:t>Una cotización aprobada se convierte una sola vez. El pedido conserva snapshots y saldos por partida.</w:t>
      </w:r>
    </w:p>
    <w:p>
      <w:pPr>
        <w:pStyle w:val="ListBullet"/>
      </w:pPr>
      <w:r>
        <w:rPr>
          <w:b/>
        </w:rPr>
        <w:t>Inventario:</w:t>
      </w:r>
      <w:r>
        <w:t xml:space="preserve"> reserva un artículo ya existente para entrega.</w:t>
      </w:r>
    </w:p>
    <w:p>
      <w:pPr>
        <w:pStyle w:val="ListBullet"/>
      </w:pPr>
      <w:r>
        <w:rPr>
          <w:b/>
        </w:rPr>
        <w:t>Producción:</w:t>
      </w:r>
      <w:r>
        <w:t xml:space="preserve"> crea una solicitud para que Producción valide receta y libere una orden; Ventas no la libera directamente.</w:t>
      </w:r>
    </w:p>
    <w:p>
      <w:pPr>
        <w:pStyle w:val="ListBullet"/>
      </w:pPr>
      <w:r>
        <w:rPr>
          <w:b/>
        </w:rPr>
        <w:t>Servicio:</w:t>
      </w:r>
      <w:r>
        <w:t xml:space="preserve"> confirmar el pedido crea exactamente una orden de servicio por cada partida de tipo servicio.</w:t>
      </w:r>
    </w:p>
    <w:p>
      <w:r>
        <w:t xml:space="preserve">Las partidas de servicio se atienden desde </w:t>
      </w:r>
      <w:r>
        <w:rPr>
          <w:b/>
        </w:rPr>
        <w:t>Órdenes de servicio</w:t>
      </w:r>
      <w:r>
        <w:t>; no generan reservas, movimientos ni Entregas. Estas órdenes comerciales son distintas de las órdenes de Producción de tipo servicio con receta: el flujo comercial no incorpora entrega de materiales en esta versión.</w:t>
      </w:r>
    </w:p>
    <w:p>
      <w:pPr>
        <w:pStyle w:val="Heading1"/>
      </w:pPr>
      <w:r>
        <w:t>Entregas físicas</w:t>
      </w:r>
    </w:p>
    <w:p>
      <w:pPr>
        <w:ind w:left="283" w:hanging="283"/>
      </w:pPr>
      <w:r>
        <w:t xml:space="preserve">1. Abra </w:t>
      </w:r>
      <w:r>
        <w:rPr>
          <w:b/>
        </w:rPr>
        <w:t>Entregas</w:t>
      </w:r>
      <w:r>
        <w:t xml:space="preserve"> y seleccione un pedido con cantidad física disponible.</w:t>
      </w:r>
    </w:p>
    <w:p>
      <w:pPr>
        <w:ind w:left="283" w:hanging="283"/>
      </w:pPr>
      <w:r>
        <w:t>2. Capture documento, fecha y cantidades parciales o totales.</w:t>
      </w:r>
    </w:p>
    <w:p>
      <w:pPr>
        <w:ind w:left="283" w:hanging="283"/>
      </w:pPr>
      <w:r>
        <w:t xml:space="preserve">3. Guarde el documento y revise que no exceda el saldo. Se muestra </w:t>
      </w:r>
      <w:r>
        <w:rPr>
          <w:b/>
        </w:rPr>
        <w:t>Pendiente de entrega</w:t>
      </w:r>
      <w:r>
        <w:t>; corresponde al borrador de la entrega.</w:t>
      </w:r>
    </w:p>
    <w:p>
      <w:pPr>
        <w:ind w:left="283" w:hanging="283"/>
      </w:pPr>
      <w:r>
        <w:t>4. El documento preparado queda pendiente de salida por Almacén. Guardarlo no descuenta inventario.</w:t>
      </w:r>
    </w:p>
    <w:p>
      <w:pPr>
        <w:ind w:left="283" w:hanging="283"/>
      </w:pPr>
      <w:r>
        <w:t xml:space="preserve">5. Almacén abre </w:t>
      </w:r>
      <w:r>
        <w:rPr>
          <w:b/>
        </w:rPr>
        <w:t>Almacenes &gt; Movimientos</w:t>
      </w:r>
      <w:r>
        <w:t xml:space="preserve">, despliega el resumen de solicitudes pendientes y entra en </w:t>
      </w:r>
      <w:r>
        <w:rPr>
          <w:b/>
        </w:rPr>
        <w:t>Salidas de pedidos de venta</w:t>
      </w:r>
      <w:r>
        <w:t>.</w:t>
      </w:r>
    </w:p>
    <w:p>
      <w:pPr>
        <w:ind w:left="283" w:hanging="283"/>
      </w:pPr>
      <w:r>
        <w:t xml:space="preserve">6. Después de revisar y entregar físicamente los productos, el usuario autorizado pulsa </w:t>
      </w:r>
      <w:r>
        <w:rPr>
          <w:b/>
        </w:rPr>
        <w:t>Confirmar salida física</w:t>
      </w:r>
      <w:r>
        <w:t xml:space="preserve"> y confirma. Inventario consume las reservas; Ventas actualiza la entrega y recalcula costo y margen real con la procedencia disponible.</w:t>
      </w:r>
    </w:p>
    <w:p>
      <w:pPr>
        <w:ind w:left="283" w:hanging="283"/>
      </w:pPr>
      <w:r>
        <w:t>7. Si el borrador no debe continuar, Ventas lo cancela antes de la confirmación física.</w:t>
      </w:r>
    </w:p>
    <w:p>
      <w:r>
        <w:t>La entrega necesita surtido por existencias y reservas comprobables. Una solicitud a Producción no equivale por sí misma a mercancía disponible para despacho: la conexión automática entre esa solicitud, la recepción de producto terminado y la entrega comercial sigue pendiente. Si falta surtido, continúe el requisito indicado en el pedido; no registre una salida manual para eludirlo.</w:t>
      </w:r>
    </w:p>
    <w:p>
      <w:r>
        <w:t>Ante una operación incierta, Almacén actualiza las tareas y continúa la misma entrega. Los reintentos conservan el avance por reserva para evitar un segundo consumo. Una entrega ya confirmada no debe capturarse de nuevo.</w:t>
      </w:r>
    </w:p>
    <w:p>
      <w:pPr>
        <w:pStyle w:val="Heading1"/>
      </w:pPr>
      <w:r>
        <w:t>Ejecutar una orden de servicio</w:t>
      </w:r>
    </w:p>
    <w:p>
      <w:pPr>
        <w:ind w:left="283" w:hanging="283"/>
      </w:pPr>
      <w:r>
        <w:t xml:space="preserve">1. Abra </w:t>
      </w:r>
      <w:r>
        <w:rPr>
          <w:b/>
        </w:rPr>
        <w:t>Ventas &gt; Órdenes de servicio</w:t>
      </w:r>
      <w:r>
        <w:t xml:space="preserve"> y seleccione la orden creada desde el pedido.</w:t>
      </w:r>
    </w:p>
    <w:p>
      <w:pPr>
        <w:ind w:left="283" w:hanging="283"/>
      </w:pPr>
      <w:r>
        <w:t>2. Planee fechas y responsable; RH valida que el trabajador permanezca activo y elegible.</w:t>
      </w:r>
    </w:p>
    <w:p>
      <w:pPr>
        <w:ind w:left="283" w:hanging="283"/>
      </w:pPr>
      <w:r>
        <w:t xml:space="preserve">3. Use </w:t>
      </w:r>
      <w:r>
        <w:rPr>
          <w:b/>
        </w:rPr>
        <w:t>Asignar</w:t>
      </w:r>
      <w:r>
        <w:t xml:space="preserve"> e </w:t>
      </w:r>
      <w:r>
        <w:rPr>
          <w:b/>
        </w:rPr>
        <w:t>Iniciar</w:t>
      </w:r>
      <w:r>
        <w:t xml:space="preserve"> con los permisos puntuales. Al iniciar y reanudar se vuelve a comprobar la elegibilidad del responsable en RH; una asignación anterior no evita esa revisión.</w:t>
      </w:r>
    </w:p>
    <w:p>
      <w:pPr>
        <w:ind w:left="283" w:hanging="283"/>
      </w:pPr>
      <w:r>
        <w:t>4. Registre tiempos, costos y evidencia. Cada registro conserva actor, fecha e idempotencia.</w:t>
      </w:r>
    </w:p>
    <w:p>
      <w:pPr>
        <w:ind w:left="283" w:hanging="283"/>
      </w:pPr>
      <w:r>
        <w:t xml:space="preserve">5. Si existe una pausa operativa, use </w:t>
      </w:r>
      <w:r>
        <w:rPr>
          <w:b/>
        </w:rPr>
        <w:t>Poner en espera</w:t>
      </w:r>
      <w:r>
        <w:t xml:space="preserve"> y después </w:t>
      </w:r>
      <w:r>
        <w:rPr>
          <w:b/>
        </w:rPr>
        <w:t>Reanudar</w:t>
      </w:r>
      <w:r>
        <w:t>.</w:t>
      </w:r>
    </w:p>
    <w:p>
      <w:pPr>
        <w:ind w:left="283" w:hanging="283"/>
      </w:pPr>
      <w:r>
        <w:t xml:space="preserve">6. Envíe a aceptación y confirme </w:t>
      </w:r>
      <w:r>
        <w:rPr>
          <w:b/>
        </w:rPr>
        <w:t>Aceptar</w:t>
      </w:r>
      <w:r>
        <w:t xml:space="preserve"> cuando el cliente o responsable valide el resultado.</w:t>
      </w:r>
    </w:p>
    <w:p>
      <w:pPr>
        <w:ind w:left="283" w:hanging="283"/>
      </w:pPr>
      <w:r>
        <w:t>7. Si se cancela, documente el motivo; el estado es terminal.</w:t>
      </w:r>
    </w:p>
    <w:p>
      <w:pPr>
        <w:pStyle w:val="Heading1"/>
      </w:pPr>
      <w:r>
        <w:t>Estados principales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576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Documento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Estados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Cotización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Borrador: captura editable; Cotizada: emitida, espera aprobación; Aprobada: puede generar pedido; Vencida y Cancelada: no continúan al pedido.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Pedido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Confirmado: creado; Pendiente de surtido: falta completar cumplimiento; Listo: puede continuar; Parcialmente entregado: falta saldo; Entregado: cumplimiento terminado; Cancelado: no continúa.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Entrega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Pendiente de entrega: documento en borrador preparado para Almacén; Entregado: confirmación y salida registradas; Cancelado: no se despacha. Si la confirmación se interrumpe, la misma tarea conserva su progreso para reintento.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Orden de servicio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Borrador, planeada, asignada, en curso, en espera, pendiente de aceptación, aceptada o cancelada.</w:t>
            </w:r>
          </w:p>
        </w:tc>
      </w:tr>
    </w:tbl>
    <w:p>
      <w:pPr>
        <w:spacing w:after="0"/>
      </w:pPr>
    </w:p>
    <w:p>
      <w:r>
        <w:t xml:space="preserve">El ciclo principal de servicio es: </w:t>
      </w:r>
      <w:r>
        <w:rPr>
          <w:rFonts w:ascii="Consolas" w:hAnsi="Consolas"/>
          <w:sz w:val="18"/>
        </w:rPr>
        <w:t>draft -&gt; planned -&gt; assigned -&gt; in_progress -&gt; pending_acceptance -&gt; accepted</w:t>
      </w:r>
      <w:r>
        <w:t xml:space="preserve">. Desde </w:t>
      </w:r>
      <w:r>
        <w:rPr>
          <w:rFonts w:ascii="Consolas" w:hAnsi="Consolas"/>
          <w:sz w:val="18"/>
        </w:rPr>
        <w:t>in_progress</w:t>
      </w:r>
      <w:r>
        <w:t xml:space="preserve"> puede pasar a </w:t>
      </w:r>
      <w:r>
        <w:rPr>
          <w:rFonts w:ascii="Consolas" w:hAnsi="Consolas"/>
          <w:sz w:val="18"/>
        </w:rPr>
        <w:t>on_hold</w:t>
      </w:r>
      <w:r>
        <w:t xml:space="preserve"> y volver; </w:t>
      </w:r>
      <w:r>
        <w:rPr>
          <w:rFonts w:ascii="Consolas" w:hAnsi="Consolas"/>
          <w:sz w:val="18"/>
        </w:rPr>
        <w:t>cancelled</w:t>
      </w:r>
      <w:r>
        <w:t xml:space="preserve"> es terminal.</w:t>
      </w:r>
    </w:p>
    <w:p>
      <w:pPr>
        <w:pStyle w:val="Heading1"/>
      </w:pPr>
      <w:r>
        <w:t>Mensajes frecuentes</w:t>
      </w:r>
    </w:p>
    <w:p>
      <w:pPr>
        <w:pStyle w:val="ListBullet"/>
      </w:pPr>
      <w:r>
        <w:rPr>
          <w:b/>
        </w:rPr>
        <w:t>No se pudo reservar el folio:</w:t>
      </w:r>
      <w:r>
        <w:t xml:space="preserve"> revise la secuencia de Administración y reintente la misma operación.</w:t>
      </w:r>
    </w:p>
    <w:p>
      <w:pPr>
        <w:pStyle w:val="ListBullet"/>
      </w:pPr>
      <w:r>
        <w:rPr>
          <w:b/>
        </w:rPr>
        <w:t>Producto sin artículo vinculado:</w:t>
      </w:r>
      <w:r>
        <w:t xml:space="preserve"> complete el vínculo en Producción/Inventario antes del surtido.</w:t>
      </w:r>
    </w:p>
    <w:p>
      <w:pPr>
        <w:pStyle w:val="ListBullet"/>
      </w:pPr>
      <w:r>
        <w:rPr>
          <w:b/>
        </w:rPr>
        <w:t>Unidad incompatible:</w:t>
      </w:r>
      <w:r>
        <w:t xml:space="preserve"> el producto y artículo deben compartir la unidad estable.</w:t>
      </w:r>
    </w:p>
    <w:p>
      <w:pPr>
        <w:pStyle w:val="ListBullet"/>
      </w:pPr>
      <w:r>
        <w:rPr>
          <w:b/>
        </w:rPr>
        <w:t>Cantidad superior al saldo:</w:t>
      </w:r>
      <w:r>
        <w:t xml:space="preserve"> reduzca la entrega o revise confirmaciones anteriores.</w:t>
      </w:r>
    </w:p>
    <w:p>
      <w:pPr>
        <w:pStyle w:val="ListBullet"/>
      </w:pPr>
      <w:r>
        <w:rPr>
          <w:b/>
        </w:rPr>
        <w:t>Trabajador no elegible:</w:t>
      </w:r>
      <w:r>
        <w:t xml:space="preserve"> active trabajador, puesto y área en RH y confirme la elegibilidad comercial.</w:t>
      </w:r>
    </w:p>
    <w:p>
      <w:pPr>
        <w:pStyle w:val="ListBullet"/>
      </w:pPr>
      <w:r>
        <w:rPr>
          <w:b/>
        </w:rPr>
        <w:t>Transición no permitida:</w:t>
      </w:r>
      <w:r>
        <w:t xml:space="preserve"> recargue el estado y use una acción válida para ese momento.</w:t>
      </w:r>
    </w:p>
    <w:p>
      <w:pPr>
        <w:pStyle w:val="ListBullet"/>
      </w:pPr>
      <w:r>
        <w:rPr>
          <w:b/>
        </w:rPr>
        <w:t>Cotización aún en Borrador:</w:t>
      </w:r>
      <w:r>
        <w:t xml:space="preserve"> una persona con permiso debe emitirla; después corresponde aprobarla. Editar o imprimir el PDF no cambia su estado.</w:t>
      </w:r>
    </w:p>
    <w:p>
      <w:pPr>
        <w:pStyle w:val="ListBullet"/>
      </w:pPr>
      <w:r>
        <w:rPr>
          <w:b/>
        </w:rPr>
        <w:t>Salida de Almacén requerida:</w:t>
      </w:r>
      <w:r>
        <w:t xml:space="preserve"> la entrega comercial está preparada; un usuario autorizado debe confirmar los productos desde </w:t>
      </w:r>
      <w:r>
        <w:rPr>
          <w:b/>
        </w:rPr>
        <w:t>Movimientos &gt; Salidas de pedidos de venta</w:t>
      </w:r>
      <w:r>
        <w:t>.</w:t>
      </w:r>
    </w:p>
    <w:p>
      <w:pPr>
        <w:pStyle w:val="ListBullet"/>
      </w:pPr>
      <w:r>
        <w:rPr>
          <w:b/>
        </w:rPr>
        <w:t>Surtido pendiente:</w:t>
      </w:r>
      <w:r>
        <w:t xml:space="preserve"> revise la configuración y reservas del pedido antes de preparar o confirmar la entrega.</w:t>
      </w:r>
    </w:p>
    <w:p>
      <w:pPr>
        <w:pStyle w:val="ListBullet"/>
      </w:pPr>
      <w:r>
        <w:rPr>
          <w:b/>
        </w:rPr>
        <w:t>Responsable ya no elegible:</w:t>
      </w:r>
      <w:r>
        <w:t xml:space="preserve"> revise trabajador, puesto y área con RH antes de iniciar o reanudar; cambiar el estado comercial no corrige el maestro de personal.</w:t>
      </w:r>
    </w:p>
    <w:p>
      <w:pPr>
        <w:pStyle w:val="ListBullet"/>
      </w:pPr>
      <w:r>
        <w:rPr>
          <w:b/>
        </w:rPr>
        <w:t>Operación incierta:</w:t>
      </w:r>
      <w:r>
        <w:t xml:space="preserve"> conserve el estado confirmado y la referencia de correlación; no repita con otra clave.</w:t>
      </w:r>
    </w:p>
    <w:p>
      <w:pPr>
        <w:pStyle w:val="Heading1"/>
      </w:pPr>
      <w:r>
        <w:t>Integraciones y propiedad del dato</w:t>
      </w:r>
    </w:p>
    <w:p>
      <w:r>
        <w:t>Administración gobierna folios, catálogos y permisos; Producción conserva productos, recetas y solicitudes productivas; Inventario conserva reservas, consumos y movimientos; RH valida responsables de servicio. Ventas conserva cliente, cotización, pedido, entrega y orden de servicio, sin FKs ni escrituras cruzadas.</w:t>
      </w:r>
    </w:p>
    <w:p>
      <w:pPr>
        <w:pStyle w:val="Heading1"/>
      </w:pPr>
      <w:r>
        <w:t>Reportes estándar de portada</w:t>
      </w:r>
    </w:p>
    <w:p>
      <w:r>
        <w:t xml:space="preserve">La portada permite generar reportes descargables de clientes, cotizaciones, pedidos, entregas, margen comercial y órdenes de servicio. Abra la tarjeta, aplique búsqueda, estatus o periodo cuando aparezcan y pulse </w:t>
      </w:r>
      <w:r>
        <w:rPr>
          <w:b/>
        </w:rPr>
        <w:t>Generar</w:t>
      </w:r>
      <w:r>
        <w:t>. Puede escribir para encontrar un estatus; la búsqueda general acepta texto libre. Los reportes de clientes omiten RFC, contacto y domicilio; los demás usan snapshots comerciales necesarios. Si no existen coincidencias, no se crea un archivo vacío.</w:t>
      </w:r>
    </w:p>
    <w:p>
      <w:r>
        <w:t xml:space="preserve">Se reutilizan </w:t>
      </w:r>
      <w:r>
        <w:rPr>
          <w:rFonts w:ascii="Consolas" w:hAnsi="Consolas"/>
          <w:sz w:val="18"/>
        </w:rPr>
        <w:t>sales.customer.read</w:t>
      </w:r>
      <w:r>
        <w:t xml:space="preserve">, </w:t>
      </w:r>
      <w:r>
        <w:rPr>
          <w:rFonts w:ascii="Consolas" w:hAnsi="Consolas"/>
          <w:sz w:val="18"/>
        </w:rPr>
        <w:t>sales.quote.read</w:t>
      </w:r>
      <w:r>
        <w:t xml:space="preserve">, </w:t>
      </w:r>
      <w:r>
        <w:rPr>
          <w:rFonts w:ascii="Consolas" w:hAnsi="Consolas"/>
          <w:sz w:val="18"/>
        </w:rPr>
        <w:t>sales.order.read</w:t>
      </w:r>
      <w:r>
        <w:t xml:space="preserve">, </w:t>
      </w:r>
      <w:r>
        <w:rPr>
          <w:rFonts w:ascii="Consolas" w:hAnsi="Consolas"/>
          <w:sz w:val="18"/>
        </w:rPr>
        <w:t>sales.delivery.read</w:t>
      </w:r>
      <w:r>
        <w:t xml:space="preserve"> y </w:t>
      </w:r>
      <w:r>
        <w:rPr>
          <w:rFonts w:ascii="Consolas" w:hAnsi="Consolas"/>
          <w:sz w:val="18"/>
        </w:rPr>
        <w:t>sales.service_order.read</w:t>
      </w:r>
      <w:r>
        <w:t>. Las descargas están disponibles en Local y QA; el análisis transversal y los libros Excel con formato permanecen en el futuro módulo Reportes.</w:t>
      </w:r>
    </w:p>
    <w:p>
      <w:pPr>
        <w:pStyle w:val="Heading1"/>
      </w:pPr>
      <w:r>
        <w:t>Limitaciones vigentes</w:t>
      </w:r>
    </w:p>
    <w:p>
      <w:r>
        <w:t>No incluye devoluciones, factura, cobranza, actualización automática del costo real desde Producción, PDF inmutable de pedido/remisión ni paginación por cursor. El límite preventivo de listados es 200 registros. Tampoco automatiza el recorrido completo desde la solicitud comercial a Producción hasta su recepción y entrega al cliente.</w:t>
      </w:r>
    </w:p>
    <w:p>
      <w:pPr>
        <w:pStyle w:val="Heading1"/>
      </w:pPr>
      <w:r>
        <w:t>Soporte</w:t>
      </w:r>
    </w:p>
    <w:p>
      <w:r>
        <w:t>Conserve folio de cliente, cotización, pedido, entrega u orden de servicio; partida; estado; fecha y correlación. Nunca use datos personales reales en pruebas.</w:t>
      </w:r>
    </w:p>
    <w:sectPr w:rsidR="00FC693F" w:rsidRPr="0006063C" w:rsidSect="00034616">
      <w:footerReference w:type="default" r:id="rId9"/>
      <w:pgSz w:w="12240" w:h="15840"/>
      <w:pgMar w:top="1020" w:right="1414" w:bottom="1020" w:left="14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64646"/>
        <w:sz w:val="16"/>
      </w:rPr>
      <w:t xml:space="preserve">ERClave  |  Local / QA pendiente  |  14 septiembre 2026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2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funcional de Ventas y Clientes</dc:title>
  <dc:subject>Manual operativo: base QA b63cdad y mejoras Local pendientes de promoción</dc:subject>
  <dc:creator>ERClave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