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Ventas: codigos de negocio</w:t>
      </w:r>
    </w:p>
    <w:p>
      <w:pPr>
        <w:pStyle w:val="ListBullet"/>
      </w:pPr>
      <w:r>
        <w:t>Audiencia: ejecutivos y responsables comerciales</w:t>
      </w:r>
    </w:p>
    <w:p>
      <w:pPr>
        <w:pStyle w:val="ListBullet"/>
      </w:pPr>
      <w:r>
        <w:t>Alcance por ambiente: Local; no promovido a QA</w:t>
      </w:r>
    </w:p>
    <w:p>
      <w:pPr>
        <w:pStyle w:val="ListBullet"/>
      </w:pPr>
      <w:r>
        <w:t>Ultima revision: 2026-08-21</w:t>
      </w:r>
    </w:p>
    <w:p>
      <w:pPr>
        <w:pStyle w:val="ListBullet"/>
      </w:pPr>
      <w:r>
        <w:t>Capacidades cubiertas: codigos de clientes, cotizaciones, pedidos y entregas</w:t>
      </w:r>
    </w:p>
    <w:p>
      <w:pPr>
        <w:pStyle w:val="Heading2"/>
      </w:pPr>
      <w:r>
        <w:t>Proposito</w:t>
      </w:r>
    </w:p>
    <w:p>
      <w:r>
        <w:t>Ventas utiliza folios visibles independientes de IDs tecnicos. Administracion puede asignarlos o permitir captura manual.</w:t>
      </w:r>
    </w:p>
    <w:p>
      <w:pPr>
        <w:pStyle w:val="Heading2"/>
      </w:pPr>
      <w:r>
        <w:t>Uso</w:t>
      </w:r>
    </w:p>
    <w:p>
      <w:r>
        <w:t>En modo administrado, el codigo se asigna al guardar. En modo manual, capture un valor unico con letras, numeros, punto, guion o guion bajo; Sales lo normaliza a mayusculas.</w:t>
      </w:r>
    </w:p>
    <w:p>
      <w:r>
        <w:t>El codigo comercial y los nombres de producto se conservan en cotizaciones y pedidos. El articulo de Almacenes puede tener otro codigo logistico; la relacion siempre se resuelve por ID, nunca por texto.</w:t>
      </w:r>
    </w:p>
    <w:p>
      <w:pPr>
        <w:pStyle w:val="Heading2"/>
      </w:pPr>
      <w:r>
        <w:t>Integraciones y mensajes</w:t>
      </w:r>
    </w:p>
    <w:p>
      <w:r>
        <w:t>Si Administracion no reserva el folio, no se crea el documento. Reintentar con la misma clave obtiene el mismo folio. Cambiar prefijo no altera documentos existentes.</w:t>
      </w:r>
    </w:p>
    <w:p>
      <w:pPr>
        <w:pStyle w:val="Heading2"/>
      </w:pPr>
      <w:r>
        <w:t>Cobertura</w:t>
      </w:r>
    </w:p>
    <w:p>
      <w:r>
        <w:t>Aplica a Clientes, Cotizaciones, Pedidos y Entregas Local. Devoluciones y facturacion permanecen planeadas.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