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45949" w14:textId="77777777" w:rsidR="00495AB8" w:rsidRDefault="00495AB8"/>
    <w:p w14:paraId="1D2C4BDE" w14:textId="77777777" w:rsidR="00B966EF" w:rsidRDefault="00B966EF"/>
    <w:p w14:paraId="60277C5C" w14:textId="65DACD61" w:rsidR="00B966EF" w:rsidRDefault="00B966EF" w:rsidP="00B966EF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7E7BE786" w14:textId="726DF16B" w:rsidR="00B966EF" w:rsidRDefault="00B966EF" w:rsidP="00B966EF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Administración y Backoffice</w:t>
      </w:r>
    </w:p>
    <w:p w14:paraId="14AA3A3E" w14:textId="6189079B" w:rsidR="00B966EF" w:rsidRDefault="00B966EF" w:rsidP="00B966EF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4C73C91E" w14:textId="77777777" w:rsidR="00B966EF" w:rsidRDefault="00B966EF" w:rsidP="00B966EF">
      <w:pPr>
        <w:jc w:val="center"/>
        <w:rPr>
          <w:rFonts w:ascii="Aptos Display" w:hAnsi="Aptos Display"/>
          <w:color w:val="5A5A5A"/>
          <w:sz w:val="24"/>
        </w:rPr>
      </w:pPr>
    </w:p>
    <w:p w14:paraId="004C2560" w14:textId="062186F4" w:rsidR="00B966EF" w:rsidRDefault="00B966EF" w:rsidP="00B966EF">
      <w:r>
        <w:rPr>
          <w:b/>
          <w:color w:val="351455"/>
        </w:rPr>
        <w:t xml:space="preserve">Audiencia: </w:t>
      </w:r>
      <w:r>
        <w:t>administradores del tenant y operadores internos autorizados</w:t>
      </w:r>
    </w:p>
    <w:p w14:paraId="5440A843" w14:textId="1230DC16" w:rsidR="00B966EF" w:rsidRDefault="00B966EF" w:rsidP="00B966EF">
      <w:r>
        <w:rPr>
          <w:b/>
          <w:color w:val="351455"/>
        </w:rPr>
        <w:t xml:space="preserve">Alcance por ambiente: </w:t>
      </w:r>
      <w:r>
        <w:t>Local y QA</w:t>
      </w:r>
    </w:p>
    <w:p w14:paraId="4ED3494A" w14:textId="5B40A97A" w:rsidR="00B966EF" w:rsidRDefault="00B966EF" w:rsidP="00B966EF">
      <w:r>
        <w:rPr>
          <w:b/>
          <w:color w:val="351455"/>
        </w:rPr>
        <w:t xml:space="preserve">Última revisión: </w:t>
      </w:r>
      <w:r>
        <w:t>2026-09-02</w:t>
      </w:r>
    </w:p>
    <w:p w14:paraId="10596627" w14:textId="233F5264" w:rsidR="00B966EF" w:rsidRDefault="00B966EF" w:rsidP="00B966EF">
      <w:r>
        <w:rPr>
          <w:b/>
          <w:color w:val="351455"/>
        </w:rPr>
        <w:t xml:space="preserve">Capacidades cubiertas: </w:t>
      </w:r>
      <w:r>
        <w:t>contexto de sesión, organización, usuarios, roles, permisos, módulos, unidades, folios, catálogos, plantilla documental y ciclo de tenants en Backoffice</w:t>
      </w:r>
    </w:p>
    <w:p w14:paraId="2B729A21" w14:textId="77777777" w:rsidR="00B966EF" w:rsidRDefault="00B966EF" w:rsidP="00B966EF"/>
    <w:p w14:paraId="30C61E78" w14:textId="3B8BAA5A" w:rsidR="00B966EF" w:rsidRDefault="00B966EF" w:rsidP="00B966EF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0C065AF5" w14:textId="6ADC2E9C" w:rsidR="00B966EF" w:rsidRDefault="00B966EF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1BF50D10" w14:textId="2302D1FE" w:rsidR="00B966EF" w:rsidRDefault="00B966EF" w:rsidP="00B966EF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35235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61EBCF47" w14:textId="228A4470" w:rsidR="00B966EF" w:rsidRDefault="00B966EF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35235" w:history="1">
        <w:r w:rsidRPr="00697B55">
          <w:rPr>
            <w:rStyle w:val="Hipervnculo"/>
            <w:noProof/>
          </w:rPr>
          <w:t>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E7BBA13" w14:textId="46CEAC15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36" w:history="1">
        <w:r w:rsidRPr="00697B55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9E383A" w14:textId="4F548FEC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37" w:history="1">
        <w:r w:rsidRPr="00697B55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DFF44B" w14:textId="0D99DD21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38" w:history="1">
        <w:r w:rsidRPr="00697B55">
          <w:rPr>
            <w:rStyle w:val="Hipervnculo"/>
            <w:noProof/>
          </w:rPr>
          <w:t>Mapa de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ABB850" w14:textId="3A0285A0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39" w:history="1">
        <w:r w:rsidRPr="00697B55">
          <w:rPr>
            <w:rStyle w:val="Hipervnculo"/>
            <w:noProof/>
          </w:rPr>
          <w:t>Contexto de sesión y tenant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FCAB173" w14:textId="1010406D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0" w:history="1">
        <w:r w:rsidRPr="00697B55">
          <w:rPr>
            <w:rStyle w:val="Hipervnculo"/>
            <w:noProof/>
          </w:rPr>
          <w:t>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066132" w14:textId="20952856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1" w:history="1">
        <w:r w:rsidRPr="00697B55">
          <w:rPr>
            <w:rStyle w:val="Hipervnculo"/>
            <w:noProof/>
          </w:rPr>
          <w:t>Roles y matriz de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CB7B88" w14:textId="4B340C53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2" w:history="1">
        <w:r w:rsidRPr="00697B55">
          <w:rPr>
            <w:rStyle w:val="Hipervnculo"/>
            <w:noProof/>
          </w:rPr>
          <w:t>Módulos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4EC502" w14:textId="23C6325B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3" w:history="1">
        <w:r w:rsidRPr="00697B55">
          <w:rPr>
            <w:rStyle w:val="Hipervnculo"/>
            <w:noProof/>
          </w:rPr>
          <w:t>Unidades de medida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E8A4D6" w14:textId="1944DCA9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4" w:history="1">
        <w:r w:rsidRPr="00697B55">
          <w:rPr>
            <w:rStyle w:val="Hipervnculo"/>
            <w:noProof/>
          </w:rPr>
          <w:t>Folios y consecutivos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0867AF" w14:textId="713F0593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5" w:history="1">
        <w:r w:rsidRPr="00697B55">
          <w:rPr>
            <w:rStyle w:val="Hipervnculo"/>
            <w:noProof/>
          </w:rPr>
          <w:t>Alta de tenant desde Backoffice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7E520E" w14:textId="53227CDE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6" w:history="1">
        <w:r w:rsidRPr="00697B55">
          <w:rPr>
            <w:rStyle w:val="Hipervnculo"/>
            <w:noProof/>
          </w:rPr>
          <w:t>Suspender, reactivar o eliminar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1EC6BE" w14:textId="125B75F0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7" w:history="1">
        <w:r w:rsidRPr="00697B55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BB30D5" w14:textId="732DFD2A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8" w:history="1">
        <w:r w:rsidRPr="00697B55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4D0BA2" w14:textId="70A68CF6" w:rsidR="00B966EF" w:rsidRDefault="00B966EF">
      <w:pPr>
        <w:pStyle w:val="TDC2"/>
        <w:tabs>
          <w:tab w:val="right" w:leader="dot" w:pos="9350"/>
        </w:tabs>
        <w:rPr>
          <w:noProof/>
        </w:rPr>
      </w:pPr>
      <w:hyperlink w:anchor="_Toc239235249" w:history="1">
        <w:r w:rsidRPr="00697B55">
          <w:rPr>
            <w:rStyle w:val="Hipervnculo"/>
            <w:noProof/>
          </w:rPr>
          <w:t>Soporte y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_Toc239235249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68A36B" w14:textId="09C41ECC" w:rsidR="00B966EF" w:rsidRDefault="00B966EF" w:rsidP="00B966EF">
      <w:r>
        <w:fldChar w:fldCharType="end"/>
      </w:r>
    </w:p>
    <w:p w14:paraId="3F7CE117" w14:textId="34D40945" w:rsidR="00B966EF" w:rsidRDefault="00B966EF">
      <w:pPr>
        <w:spacing w:after="160" w:line="278" w:lineRule="auto"/>
      </w:pPr>
      <w:r>
        <w:br w:type="page"/>
      </w:r>
    </w:p>
    <w:p w14:paraId="457474B5" w14:textId="1FAE1906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35236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0703C5E4" w14:textId="36CB7333" w:rsidR="00B966EF" w:rsidRDefault="00B966EF" w:rsidP="00B966EF">
      <w:r>
        <w:t>Administración gobierna quién puede entrar, qué módulos tiene contratados y qué configuración comparte cada tenant. Firebase autentica la identidad; Admin Service decide membresía, tenant activo, permisos, entitlements y alcance.</w:t>
      </w:r>
    </w:p>
    <w:p w14:paraId="043B096F" w14:textId="67E5A2AA" w:rsidR="00B966EF" w:rsidRDefault="00B966EF" w:rsidP="00B966EF">
      <w:r>
        <w:t>Backoffice es una aplicación interna separada para alta, configuración, suspensión y eliminación de tenants. Ser owner de una empresa no concede acceso al Backoffice.</w:t>
      </w:r>
    </w:p>
    <w:p w14:paraId="2738DF5A" w14:textId="4BDD4F0B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35237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5673"/>
        <w:gridCol w:w="1844"/>
        <w:gridCol w:w="1844"/>
      </w:tblGrid>
      <w:tr w:rsidR="00B966EF" w14:paraId="0ACB9204" w14:textId="77777777" w:rsidTr="00B966EF">
        <w:trPr>
          <w:cantSplit/>
          <w:tblHeader/>
        </w:trPr>
        <w:tc>
          <w:tcPr>
            <w:tcW w:w="5673" w:type="dxa"/>
            <w:shd w:val="clear" w:color="auto" w:fill="351455"/>
            <w:vAlign w:val="center"/>
          </w:tcPr>
          <w:p w14:paraId="4E040100" w14:textId="6A7570CC" w:rsidR="00B966EF" w:rsidRPr="00B966EF" w:rsidRDefault="00B966EF" w:rsidP="00B966EF">
            <w:pPr>
              <w:spacing w:after="40"/>
              <w:rPr>
                <w:b/>
                <w:color w:val="FFFFFF"/>
                <w:sz w:val="18"/>
              </w:rPr>
            </w:pPr>
            <w:r w:rsidRPr="00B966EF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0AA73B6A" w14:textId="36752A43" w:rsidR="00B966EF" w:rsidRPr="00B966EF" w:rsidRDefault="00B966EF" w:rsidP="00B966EF">
            <w:pPr>
              <w:spacing w:after="40"/>
              <w:rPr>
                <w:b/>
                <w:color w:val="FFFFFF"/>
                <w:sz w:val="18"/>
              </w:rPr>
            </w:pPr>
            <w:r w:rsidRPr="00B966EF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1844" w:type="dxa"/>
            <w:shd w:val="clear" w:color="auto" w:fill="351455"/>
            <w:vAlign w:val="center"/>
          </w:tcPr>
          <w:p w14:paraId="4C9EFFE3" w14:textId="47E3123F" w:rsidR="00B966EF" w:rsidRPr="00B966EF" w:rsidRDefault="00B966EF" w:rsidP="00B966EF">
            <w:pPr>
              <w:spacing w:after="40"/>
              <w:rPr>
                <w:b/>
                <w:color w:val="FFFFFF"/>
                <w:sz w:val="18"/>
              </w:rPr>
            </w:pPr>
            <w:r w:rsidRPr="00B966EF">
              <w:rPr>
                <w:b/>
                <w:color w:val="FFFFFF"/>
                <w:sz w:val="18"/>
              </w:rPr>
              <w:t>QA</w:t>
            </w:r>
          </w:p>
        </w:tc>
      </w:tr>
      <w:tr w:rsidR="00B966EF" w14:paraId="385ADCAA" w14:textId="77777777" w:rsidTr="00B966EF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3EAD622B" w14:textId="6D3FE6C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Usuarios, roles y permisos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1C9BE6BD" w14:textId="47857613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23EF8F58" w14:textId="660F94A3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</w:tr>
      <w:tr w:rsidR="00B966EF" w14:paraId="0C2B1366" w14:textId="77777777" w:rsidTr="00B966EF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10D03A5B" w14:textId="7EC613F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Entitlements y módulos activos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1F5B6B4F" w14:textId="0FF8FA5F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11307CA9" w14:textId="5DA9C9EE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</w:tr>
      <w:tr w:rsidR="00B966EF" w14:paraId="45DC5357" w14:textId="77777777" w:rsidTr="00B966EF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6B93E5C7" w14:textId="55B48ADF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Unidades, folios y catálogos comerciales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23E2E633" w14:textId="0A407DEF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52A60360" w14:textId="672BE30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</w:tr>
      <w:tr w:rsidR="00B966EF" w14:paraId="281F1342" w14:textId="77777777" w:rsidTr="00B966EF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307605CD" w14:textId="19B1A65D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Entidades legales, sucursales y perfil organizacional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3AC9511B" w14:textId="4F480C4F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8394529" w14:textId="1A0D1A54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</w:tr>
      <w:tr w:rsidR="00B966EF" w14:paraId="0E0C559A" w14:textId="77777777" w:rsidTr="00B966EF">
        <w:trPr>
          <w:cantSplit/>
        </w:trPr>
        <w:tc>
          <w:tcPr>
            <w:tcW w:w="5673" w:type="dxa"/>
            <w:tcBorders>
              <w:bottom w:val="single" w:sz="4" w:space="0" w:color="auto"/>
            </w:tcBorders>
            <w:vAlign w:val="center"/>
          </w:tcPr>
          <w:p w14:paraId="4B328AE4" w14:textId="03B7C403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Alta, edición, suspensión y eliminación de tenants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6D072458" w14:textId="3BE7631C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14:paraId="460A23CD" w14:textId="36D1EF9B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Disponible</w:t>
            </w:r>
          </w:p>
        </w:tc>
      </w:tr>
      <w:tr w:rsidR="00B966EF" w14:paraId="1AE55187" w14:textId="77777777" w:rsidTr="00B966EF">
        <w:trPr>
          <w:cantSplit/>
        </w:trPr>
        <w:tc>
          <w:tcPr>
            <w:tcW w:w="5673" w:type="dxa"/>
            <w:shd w:val="clear" w:color="auto" w:fill="F2F4F7"/>
            <w:vAlign w:val="center"/>
          </w:tcPr>
          <w:p w14:paraId="0A3CBE87" w14:textId="2EE1DD42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Onboarding automático por checkout/pago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576602C1" w14:textId="29F1FF8D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No disponible</w:t>
            </w:r>
          </w:p>
        </w:tc>
        <w:tc>
          <w:tcPr>
            <w:tcW w:w="1844" w:type="dxa"/>
            <w:shd w:val="clear" w:color="auto" w:fill="F2F4F7"/>
            <w:vAlign w:val="center"/>
          </w:tcPr>
          <w:p w14:paraId="7F848B6A" w14:textId="43E57E24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No disponible</w:t>
            </w:r>
          </w:p>
        </w:tc>
      </w:tr>
    </w:tbl>
    <w:p w14:paraId="7D6F15BE" w14:textId="77777777" w:rsidR="00B966EF" w:rsidRDefault="00B966EF" w:rsidP="00B966EF"/>
    <w:p w14:paraId="67934203" w14:textId="17585B89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35238"/>
      <w:r>
        <w:rPr>
          <w:rFonts w:ascii="Aptos" w:hAnsi="Aptos"/>
          <w:b w:val="0"/>
          <w:color w:val="000000"/>
          <w:sz w:val="21"/>
        </w:rPr>
        <w:t>Mapa de Administración</w:t>
      </w:r>
      <w:bookmarkEnd w:id="3"/>
    </w:p>
    <w:p w14:paraId="5DB7B3AC" w14:textId="2E124653" w:rsidR="00B966EF" w:rsidRDefault="00B966EF" w:rsidP="00B966EF">
      <w:pPr>
        <w:pStyle w:val="Listaconvietas"/>
      </w:pPr>
      <w:r>
        <w:rPr>
          <w:b/>
        </w:rPr>
        <w:t>Organización:</w:t>
      </w:r>
      <w:r>
        <w:t xml:space="preserve"> perfil, entidades legales y sucursales.</w:t>
      </w:r>
    </w:p>
    <w:p w14:paraId="18BAF763" w14:textId="48BABC48" w:rsidR="00B966EF" w:rsidRDefault="00B966EF" w:rsidP="00B966EF">
      <w:pPr>
        <w:pStyle w:val="Listaconvietas"/>
      </w:pPr>
      <w:r>
        <w:rPr>
          <w:b/>
        </w:rPr>
        <w:t>Usuarios:</w:t>
      </w:r>
      <w:r>
        <w:t xml:space="preserve"> invitaciones, estado y membresía.</w:t>
      </w:r>
    </w:p>
    <w:p w14:paraId="2E961022" w14:textId="6408B2EF" w:rsidR="00B966EF" w:rsidRDefault="00B966EF" w:rsidP="00B966EF">
      <w:pPr>
        <w:pStyle w:val="Listaconvietas"/>
      </w:pPr>
      <w:r>
        <w:rPr>
          <w:b/>
        </w:rPr>
        <w:t>Roles:</w:t>
      </w:r>
      <w:r>
        <w:t xml:space="preserve"> definición y matriz de permisos.</w:t>
      </w:r>
    </w:p>
    <w:p w14:paraId="7BAC5423" w14:textId="2830CDB5" w:rsidR="00B966EF" w:rsidRDefault="00B966EF" w:rsidP="00B966EF">
      <w:pPr>
        <w:pStyle w:val="Listaconvietas"/>
      </w:pPr>
      <w:r>
        <w:rPr>
          <w:b/>
        </w:rPr>
        <w:t>Módulos activos:</w:t>
      </w:r>
      <w:r>
        <w:t xml:space="preserve"> entitlements contratados por tenant.</w:t>
      </w:r>
    </w:p>
    <w:p w14:paraId="6C0D53A5" w14:textId="282EFC13" w:rsidR="00B966EF" w:rsidRDefault="00B966EF" w:rsidP="00B966EF">
      <w:pPr>
        <w:pStyle w:val="Listaconvietas"/>
      </w:pPr>
      <w:r>
        <w:rPr>
          <w:b/>
        </w:rPr>
        <w:t>Catálogos base:</w:t>
      </w:r>
      <w:r>
        <w:t xml:space="preserve"> unidades, folios, monedas, condiciones, impuestos y otros catálogos implementados.</w:t>
      </w:r>
    </w:p>
    <w:p w14:paraId="0147DE18" w14:textId="0BD7EE25" w:rsidR="00B966EF" w:rsidRDefault="00B966EF" w:rsidP="00B966EF">
      <w:pPr>
        <w:pStyle w:val="Listaconvietas"/>
      </w:pPr>
      <w:r>
        <w:rPr>
          <w:b/>
        </w:rPr>
        <w:t>Plantilla documental:</w:t>
      </w:r>
      <w:r>
        <w:t xml:space="preserve"> configuración compartida de encabezado, pie y marca.</w:t>
      </w:r>
    </w:p>
    <w:p w14:paraId="7024A2F4" w14:textId="4BACCC15" w:rsidR="00B966EF" w:rsidRDefault="00B966EF" w:rsidP="00B966EF">
      <w:pPr>
        <w:pStyle w:val="Listaconvietas"/>
      </w:pPr>
      <w:r>
        <w:rPr>
          <w:b/>
        </w:rPr>
        <w:t>Backoffice:</w:t>
      </w:r>
      <w:r>
        <w:t xml:space="preserve"> operación interna sobre tenants.</w:t>
      </w:r>
    </w:p>
    <w:p w14:paraId="7F13D327" w14:textId="36987F72" w:rsidR="00B966EF" w:rsidRDefault="00B966EF" w:rsidP="00B966EF">
      <w:r>
        <w:t>Administración es la excepción a la portada de reportes: su primera vista es un centro de configuración, no un centro operativo.</w:t>
      </w:r>
    </w:p>
    <w:p w14:paraId="1AC11B5B" w14:textId="7D4340A8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35239"/>
      <w:r>
        <w:rPr>
          <w:rFonts w:ascii="Aptos" w:hAnsi="Aptos"/>
          <w:b w:val="0"/>
          <w:color w:val="000000"/>
          <w:sz w:val="21"/>
        </w:rPr>
        <w:t>Contexto de sesión y tenant</w:t>
      </w:r>
      <w:bookmarkEnd w:id="4"/>
    </w:p>
    <w:p w14:paraId="600BE6DC" w14:textId="15509E20" w:rsidR="00B966EF" w:rsidRDefault="00B966EF" w:rsidP="00B966EF">
      <w:r>
        <w:t>Al iniciar sesión, ERClave obtiene los tenants donde el usuario tiene membresía. El selector de tenant cambia el contexto completo y obliga a recargar permisos, módulos y datos. El header de tenant es un selector, no una autorización: el backend comprueba que la identidad pertenezca al tenant solicitado.</w:t>
      </w:r>
    </w:p>
    <w:p w14:paraId="2D65BA8A" w14:textId="32B20ECF" w:rsidR="00B966EF" w:rsidRDefault="00B966EF" w:rsidP="00B966EF">
      <w:r>
        <w:t>Un módulo visible requiere tres condiciones: tenant activo, entitlement activo y permiso efectivo. Activar el módulo no concede permisos a roles existentes.</w:t>
      </w:r>
    </w:p>
    <w:p w14:paraId="2FA324AC" w14:textId="20C29741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35240"/>
      <w:r>
        <w:rPr>
          <w:rFonts w:ascii="Aptos" w:hAnsi="Aptos"/>
          <w:b w:val="0"/>
          <w:color w:val="000000"/>
          <w:sz w:val="21"/>
        </w:rPr>
        <w:t>Usuarios</w:t>
      </w:r>
      <w:bookmarkEnd w:id="5"/>
    </w:p>
    <w:p w14:paraId="5409EB77" w14:textId="37A19D3F" w:rsidR="00B966EF" w:rsidRDefault="00B966EF" w:rsidP="00B966EF">
      <w:pPr>
        <w:pStyle w:val="Listaconnmeros"/>
      </w:pPr>
      <w:r>
        <w:t xml:space="preserve">Abra </w:t>
      </w:r>
      <w:r>
        <w:rPr>
          <w:b/>
        </w:rPr>
        <w:t>Administración &gt; Usuarios</w:t>
      </w:r>
      <w:r>
        <w:t>.</w:t>
      </w:r>
    </w:p>
    <w:p w14:paraId="63D9CEEE" w14:textId="35E4640B" w:rsidR="00B966EF" w:rsidRDefault="00B966EF" w:rsidP="00B966EF">
      <w:pPr>
        <w:pStyle w:val="Listaconnmeros"/>
      </w:pPr>
      <w:r>
        <w:t>Invite con correo, rol y alcance permitidos.</w:t>
      </w:r>
    </w:p>
    <w:p w14:paraId="1CFF121F" w14:textId="0066E178" w:rsidR="00B966EF" w:rsidRDefault="00B966EF" w:rsidP="00B966EF">
      <w:pPr>
        <w:pStyle w:val="Listaconnmeros"/>
      </w:pPr>
      <w:r>
        <w:t>El usuario establece su contraseña mediante Firebase; nunca se envía una contraseña por correo.</w:t>
      </w:r>
    </w:p>
    <w:p w14:paraId="25581421" w14:textId="3F090C38" w:rsidR="00B966EF" w:rsidRDefault="00B966EF" w:rsidP="00B966EF">
      <w:pPr>
        <w:pStyle w:val="Listaconnmeros"/>
      </w:pPr>
      <w:r>
        <w:t>Actualice rol, sucursal o estado cuando sea necesario.</w:t>
      </w:r>
    </w:p>
    <w:p w14:paraId="35EC41C4" w14:textId="630F6CE4" w:rsidR="00B966EF" w:rsidRDefault="00B966EF" w:rsidP="00B966EF">
      <w:pPr>
        <w:pStyle w:val="Listaconnmeros"/>
      </w:pPr>
      <w:r>
        <w:t xml:space="preserve">Use </w:t>
      </w:r>
      <w:r>
        <w:rPr>
          <w:b/>
        </w:rPr>
        <w:t>Deshabilitar</w:t>
      </w:r>
      <w:r>
        <w:t xml:space="preserve"> para bloquear acceso conservando evidencia o </w:t>
      </w:r>
      <w:r>
        <w:rPr>
          <w:b/>
        </w:rPr>
        <w:t>Eliminar</w:t>
      </w:r>
      <w:r>
        <w:t xml:space="preserve"> cuando corresponda retirar la membresía.</w:t>
      </w:r>
    </w:p>
    <w:p w14:paraId="38F1B503" w14:textId="2BB9FAC0" w:rsidR="00B966EF" w:rsidRDefault="00B966EF" w:rsidP="00B966EF">
      <w:r>
        <w:t>La identidad Firebase sólo se elimina si ya no está compartida con otro tenant. Una respuesta de invitación o limpieza pendiente debe conservarse; el reintento automático durable permanece como mejora futura.</w:t>
      </w:r>
    </w:p>
    <w:p w14:paraId="4B5A4EBB" w14:textId="628B3D57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35241"/>
      <w:r>
        <w:rPr>
          <w:rFonts w:ascii="Aptos" w:hAnsi="Aptos"/>
          <w:b w:val="0"/>
          <w:color w:val="000000"/>
          <w:sz w:val="21"/>
        </w:rPr>
        <w:t>Roles y matriz de permisos</w:t>
      </w:r>
      <w:bookmarkEnd w:id="6"/>
    </w:p>
    <w:p w14:paraId="7A56BA4A" w14:textId="36A96ACE" w:rsidR="00B966EF" w:rsidRDefault="00B966EF" w:rsidP="00B966EF">
      <w:pPr>
        <w:pStyle w:val="Listaconnmeros"/>
      </w:pPr>
      <w:r>
        <w:t xml:space="preserve">Abra </w:t>
      </w:r>
      <w:r>
        <w:rPr>
          <w:b/>
        </w:rPr>
        <w:t>Roles</w:t>
      </w:r>
      <w:r>
        <w:t xml:space="preserve"> y cree o seleccione un rol.</w:t>
      </w:r>
    </w:p>
    <w:p w14:paraId="0CB5A3FA" w14:textId="1E146BBB" w:rsidR="00B966EF" w:rsidRDefault="00B966EF" w:rsidP="00B966EF">
      <w:pPr>
        <w:pStyle w:val="Listaconnmeros"/>
      </w:pPr>
      <w:r>
        <w:t xml:space="preserve">Use </w:t>
      </w:r>
      <w:r>
        <w:rPr>
          <w:b/>
        </w:rPr>
        <w:t>Ver/Editar permisos</w:t>
      </w:r>
      <w:r>
        <w:t>.</w:t>
      </w:r>
    </w:p>
    <w:p w14:paraId="0D7E2220" w14:textId="3AEFE624" w:rsidR="00B966EF" w:rsidRDefault="00B966EF" w:rsidP="00B966EF">
      <w:pPr>
        <w:pStyle w:val="Listaconnmeros"/>
      </w:pPr>
      <w:r>
        <w:t>Busque por módulo, recurso o acción.</w:t>
      </w:r>
    </w:p>
    <w:p w14:paraId="1FB02D44" w14:textId="44C54C64" w:rsidR="00B966EF" w:rsidRDefault="00B966EF" w:rsidP="00B966EF">
      <w:pPr>
        <w:pStyle w:val="Listaconnmeros"/>
      </w:pPr>
      <w:r>
        <w:t>Seleccione exclusivamente las capacidades necesarias y guarde el borrador explícito.</w:t>
      </w:r>
    </w:p>
    <w:p w14:paraId="700483CB" w14:textId="1D6F0AEE" w:rsidR="00B966EF" w:rsidRDefault="00B966EF" w:rsidP="00B966EF">
      <w:r>
        <w:rPr>
          <w:rFonts w:ascii="Consolas" w:hAnsi="Consolas"/>
          <w:color w:val="351455"/>
          <w:sz w:val="18"/>
        </w:rPr>
        <w:t>admin.role.read</w:t>
      </w:r>
      <w:r>
        <w:t xml:space="preserve"> permite consultar y </w:t>
      </w:r>
      <w:r>
        <w:rPr>
          <w:rFonts w:ascii="Consolas" w:hAnsi="Consolas"/>
          <w:color w:val="351455"/>
          <w:sz w:val="18"/>
        </w:rPr>
        <w:t>admin.role.permissions.manage</w:t>
      </w:r>
      <w:r>
        <w:t xml:space="preserve"> permite reemplazar asignaciones. El sistema rechaza permisos inactivos o grants prohibidos. Las transiciones críticas son independientes: iniciar, completar, cancelar, aprobar, recibir o conciliar no se heredan unas de otras por el nombre del rol.</w:t>
      </w:r>
    </w:p>
    <w:p w14:paraId="3A90D8C7" w14:textId="61D9131F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35242"/>
      <w:r>
        <w:rPr>
          <w:rFonts w:ascii="Aptos" w:hAnsi="Aptos"/>
          <w:b w:val="0"/>
          <w:color w:val="000000"/>
          <w:sz w:val="21"/>
        </w:rPr>
        <w:t>Módulos y dependencias</w:t>
      </w:r>
      <w:bookmarkEnd w:id="7"/>
    </w:p>
    <w:p w14:paraId="4FED2063" w14:textId="5700623C" w:rsidR="00B966EF" w:rsidRDefault="00B966EF" w:rsidP="00B966EF">
      <w:r>
        <w:t>Backoffice y Administración muestran Admin, Producción, Inventario, RH, Ventas, Compras y Mantenimiento como servicios reales del release QA vigente.</w:t>
      </w:r>
    </w:p>
    <w:p w14:paraId="685A0CB8" w14:textId="61A6CC81" w:rsidR="00B966EF" w:rsidRDefault="00B966EF" w:rsidP="00B966EF">
      <w:pPr>
        <w:pStyle w:val="Listaconvietas"/>
      </w:pPr>
      <w:r>
        <w:t>Producción usa RH e Inventario para capacidad y materiales.</w:t>
      </w:r>
    </w:p>
    <w:p w14:paraId="418969B3" w14:textId="4FA8D95C" w:rsidR="00B966EF" w:rsidRDefault="00B966EF" w:rsidP="00B966EF">
      <w:pPr>
        <w:pStyle w:val="Listaconvietas"/>
      </w:pPr>
      <w:r>
        <w:t>Ventas usa Producción, RH e Inventario según la partida.</w:t>
      </w:r>
    </w:p>
    <w:p w14:paraId="02759740" w14:textId="74381936" w:rsidR="00B966EF" w:rsidRDefault="00B966EF" w:rsidP="00B966EF">
      <w:pPr>
        <w:pStyle w:val="Listaconvietas"/>
      </w:pPr>
      <w:r>
        <w:t>Mantenimiento requiere RH e Inventario; Producción es integración opcional.</w:t>
      </w:r>
    </w:p>
    <w:p w14:paraId="619B812C" w14:textId="25B76EAB" w:rsidR="00B966EF" w:rsidRDefault="00B966EF" w:rsidP="00B966EF">
      <w:pPr>
        <w:pStyle w:val="Listaconvietas"/>
      </w:pPr>
      <w:r>
        <w:t>Compras puede activarse sin Inventario para servicios en el corte Local; las partidas físicas sí requieren Inventario.</w:t>
      </w:r>
    </w:p>
    <w:p w14:paraId="49460313" w14:textId="1DF0C3E6" w:rsidR="00B966EF" w:rsidRDefault="00B966EF" w:rsidP="00B966EF">
      <w:r>
        <w:t>No active una dependencia sólo para superar una pantalla: confirme el modelo operativo del tenant y asigne permisos coherentes.</w:t>
      </w:r>
    </w:p>
    <w:p w14:paraId="3E21F595" w14:textId="37D72C7F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35243"/>
      <w:r>
        <w:rPr>
          <w:rFonts w:ascii="Aptos" w:hAnsi="Aptos"/>
          <w:b w:val="0"/>
          <w:color w:val="000000"/>
          <w:sz w:val="21"/>
        </w:rPr>
        <w:t>Unidades de medida</w:t>
      </w:r>
      <w:bookmarkEnd w:id="8"/>
    </w:p>
    <w:p w14:paraId="3769DF34" w14:textId="399D1912" w:rsidR="00B966EF" w:rsidRDefault="00B966EF" w:rsidP="00B966EF">
      <w:r>
        <w:t xml:space="preserve">Las unidades tienen código estable, nombre ES/EN, categoría, factor y estado. Los campos operativos guardan el código, no texto libre. La unidad </w:t>
      </w:r>
      <w:r>
        <w:rPr>
          <w:rFonts w:ascii="Consolas" w:hAnsi="Consolas"/>
          <w:color w:val="351455"/>
          <w:sz w:val="18"/>
        </w:rPr>
        <w:t>E48</w:t>
      </w:r>
      <w:r>
        <w:t xml:space="preserve"> representa </w:t>
      </w:r>
      <w:r>
        <w:rPr>
          <w:b/>
        </w:rPr>
        <w:t>Unidad de servicio / Service unit</w:t>
      </w:r>
      <w:r>
        <w:t xml:space="preserve"> en el corte Local vigente.</w:t>
      </w:r>
    </w:p>
    <w:p w14:paraId="1AA7D6D2" w14:textId="33E9032B" w:rsidR="00B966EF" w:rsidRDefault="00B966EF" w:rsidP="00B966EF">
      <w:r>
        <w:t>Cambiar o inactivar una unidad afecta nuevas capturas, no reescribe documentos históricos. Inventario protege la unidad de artículos con movimientos o reservas.</w:t>
      </w:r>
    </w:p>
    <w:p w14:paraId="50C404B3" w14:textId="0AF5212B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35244"/>
      <w:r>
        <w:rPr>
          <w:rFonts w:ascii="Aptos" w:hAnsi="Aptos"/>
          <w:b w:val="0"/>
          <w:color w:val="000000"/>
          <w:sz w:val="21"/>
        </w:rPr>
        <w:t>Folios y consecutivos</w:t>
      </w:r>
      <w:bookmarkEnd w:id="9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74"/>
        <w:gridCol w:w="6686"/>
      </w:tblGrid>
      <w:tr w:rsidR="00B966EF" w14:paraId="185C3CE2" w14:textId="77777777" w:rsidTr="00B966EF">
        <w:trPr>
          <w:cantSplit/>
          <w:tblHeader/>
        </w:trPr>
        <w:tc>
          <w:tcPr>
            <w:tcW w:w="2674" w:type="dxa"/>
            <w:shd w:val="clear" w:color="auto" w:fill="351455"/>
            <w:vAlign w:val="center"/>
          </w:tcPr>
          <w:p w14:paraId="4B34BFEA" w14:textId="1CE0ED91" w:rsidR="00B966EF" w:rsidRPr="00B966EF" w:rsidRDefault="00B966EF" w:rsidP="00B966EF">
            <w:pPr>
              <w:spacing w:after="40"/>
              <w:rPr>
                <w:b/>
                <w:color w:val="FFFFFF"/>
                <w:sz w:val="18"/>
              </w:rPr>
            </w:pPr>
            <w:r w:rsidRPr="00B966EF"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6686" w:type="dxa"/>
            <w:shd w:val="clear" w:color="auto" w:fill="351455"/>
            <w:vAlign w:val="center"/>
          </w:tcPr>
          <w:p w14:paraId="41B358A3" w14:textId="7C069E73" w:rsidR="00B966EF" w:rsidRPr="00B966EF" w:rsidRDefault="00B966EF" w:rsidP="00B966EF">
            <w:pPr>
              <w:spacing w:after="40"/>
              <w:rPr>
                <w:b/>
                <w:color w:val="FFFFFF"/>
                <w:sz w:val="18"/>
              </w:rPr>
            </w:pPr>
            <w:r w:rsidRPr="00B966EF">
              <w:rPr>
                <w:b/>
                <w:color w:val="FFFFFF"/>
                <w:sz w:val="18"/>
              </w:rPr>
              <w:t>Efecto</w:t>
            </w:r>
          </w:p>
        </w:tc>
      </w:tr>
      <w:tr w:rsidR="00B966EF" w14:paraId="222250FF" w14:textId="77777777" w:rsidTr="00B966EF">
        <w:trPr>
          <w:cantSplit/>
        </w:trPr>
        <w:tc>
          <w:tcPr>
            <w:tcW w:w="2674" w:type="dxa"/>
            <w:tcBorders>
              <w:bottom w:val="single" w:sz="4" w:space="0" w:color="auto"/>
            </w:tcBorders>
            <w:vAlign w:val="center"/>
          </w:tcPr>
          <w:p w14:paraId="25987183" w14:textId="24F9AC9F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Prefijo</w:t>
            </w:r>
          </w:p>
        </w:tc>
        <w:tc>
          <w:tcPr>
            <w:tcW w:w="6686" w:type="dxa"/>
            <w:tcBorders>
              <w:bottom w:val="single" w:sz="4" w:space="0" w:color="auto"/>
            </w:tcBorders>
            <w:vAlign w:val="center"/>
          </w:tcPr>
          <w:p w14:paraId="64476609" w14:textId="19601992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Texto inicial del folio.</w:t>
            </w:r>
          </w:p>
        </w:tc>
      </w:tr>
      <w:tr w:rsidR="00B966EF" w14:paraId="78FCCC21" w14:textId="77777777" w:rsidTr="00B966EF">
        <w:trPr>
          <w:cantSplit/>
        </w:trPr>
        <w:tc>
          <w:tcPr>
            <w:tcW w:w="2674" w:type="dxa"/>
            <w:shd w:val="clear" w:color="auto" w:fill="F2F4F7"/>
            <w:vAlign w:val="center"/>
          </w:tcPr>
          <w:p w14:paraId="198A056E" w14:textId="16C1A64C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Separador</w:t>
            </w:r>
          </w:p>
        </w:tc>
        <w:tc>
          <w:tcPr>
            <w:tcW w:w="6686" w:type="dxa"/>
            <w:shd w:val="clear" w:color="auto" w:fill="F2F4F7"/>
            <w:vAlign w:val="center"/>
          </w:tcPr>
          <w:p w14:paraId="5EFF08AD" w14:textId="1E156430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Carácter entre prefijo y número.</w:t>
            </w:r>
          </w:p>
        </w:tc>
      </w:tr>
      <w:tr w:rsidR="00B966EF" w14:paraId="66D02498" w14:textId="77777777" w:rsidTr="00B966EF">
        <w:trPr>
          <w:cantSplit/>
        </w:trPr>
        <w:tc>
          <w:tcPr>
            <w:tcW w:w="2674" w:type="dxa"/>
            <w:tcBorders>
              <w:bottom w:val="single" w:sz="4" w:space="0" w:color="auto"/>
            </w:tcBorders>
            <w:vAlign w:val="center"/>
          </w:tcPr>
          <w:p w14:paraId="153014CA" w14:textId="35B1503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Siguiente número</w:t>
            </w:r>
          </w:p>
        </w:tc>
        <w:tc>
          <w:tcPr>
            <w:tcW w:w="6686" w:type="dxa"/>
            <w:tcBorders>
              <w:bottom w:val="single" w:sz="4" w:space="0" w:color="auto"/>
            </w:tcBorders>
            <w:vAlign w:val="center"/>
          </w:tcPr>
          <w:p w14:paraId="709A342A" w14:textId="6E5F3275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Próxima reserva; no puede disminuir.</w:t>
            </w:r>
          </w:p>
        </w:tc>
      </w:tr>
      <w:tr w:rsidR="00B966EF" w14:paraId="21E7BF4A" w14:textId="77777777" w:rsidTr="00B966EF">
        <w:trPr>
          <w:cantSplit/>
        </w:trPr>
        <w:tc>
          <w:tcPr>
            <w:tcW w:w="2674" w:type="dxa"/>
            <w:shd w:val="clear" w:color="auto" w:fill="F2F4F7"/>
            <w:vAlign w:val="center"/>
          </w:tcPr>
          <w:p w14:paraId="5A18C671" w14:textId="551FA29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Longitud</w:t>
            </w:r>
          </w:p>
        </w:tc>
        <w:tc>
          <w:tcPr>
            <w:tcW w:w="6686" w:type="dxa"/>
            <w:shd w:val="clear" w:color="auto" w:fill="F2F4F7"/>
            <w:vAlign w:val="center"/>
          </w:tcPr>
          <w:p w14:paraId="0381B41F" w14:textId="39AD973B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Dígitos con ceros a la izquierda.</w:t>
            </w:r>
          </w:p>
        </w:tc>
      </w:tr>
      <w:tr w:rsidR="00B966EF" w14:paraId="67113A2F" w14:textId="77777777" w:rsidTr="00B966EF">
        <w:trPr>
          <w:cantSplit/>
        </w:trPr>
        <w:tc>
          <w:tcPr>
            <w:tcW w:w="2674" w:type="dxa"/>
            <w:tcBorders>
              <w:bottom w:val="single" w:sz="4" w:space="0" w:color="auto"/>
            </w:tcBorders>
            <w:vAlign w:val="center"/>
          </w:tcPr>
          <w:p w14:paraId="52A22BEF" w14:textId="538F8F7E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Administrado</w:t>
            </w:r>
          </w:p>
        </w:tc>
        <w:tc>
          <w:tcPr>
            <w:tcW w:w="6686" w:type="dxa"/>
            <w:tcBorders>
              <w:bottom w:val="single" w:sz="4" w:space="0" w:color="auto"/>
            </w:tcBorders>
            <w:vAlign w:val="center"/>
          </w:tcPr>
          <w:p w14:paraId="327C568D" w14:textId="4580C58A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ERClave reserva de forma atómica e idempotente.</w:t>
            </w:r>
          </w:p>
        </w:tc>
      </w:tr>
      <w:tr w:rsidR="00B966EF" w14:paraId="47C08BF4" w14:textId="77777777" w:rsidTr="00B966EF">
        <w:trPr>
          <w:cantSplit/>
        </w:trPr>
        <w:tc>
          <w:tcPr>
            <w:tcW w:w="2674" w:type="dxa"/>
            <w:shd w:val="clear" w:color="auto" w:fill="F2F4F7"/>
            <w:vAlign w:val="center"/>
          </w:tcPr>
          <w:p w14:paraId="1AF20A8C" w14:textId="78272721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Manual</w:t>
            </w:r>
          </w:p>
        </w:tc>
        <w:tc>
          <w:tcPr>
            <w:tcW w:w="6686" w:type="dxa"/>
            <w:shd w:val="clear" w:color="auto" w:fill="F2F4F7"/>
            <w:vAlign w:val="center"/>
          </w:tcPr>
          <w:p w14:paraId="528B5ECC" w14:textId="111521B1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El operador captura y el módulo valida formato/unicidad.</w:t>
            </w:r>
          </w:p>
        </w:tc>
      </w:tr>
      <w:tr w:rsidR="00B966EF" w14:paraId="5665DD20" w14:textId="77777777" w:rsidTr="00B966EF">
        <w:trPr>
          <w:cantSplit/>
        </w:trPr>
        <w:tc>
          <w:tcPr>
            <w:tcW w:w="2674" w:type="dxa"/>
            <w:vAlign w:val="center"/>
          </w:tcPr>
          <w:p w14:paraId="40C5F34C" w14:textId="72BA2AC9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Estado</w:t>
            </w:r>
          </w:p>
        </w:tc>
        <w:tc>
          <w:tcPr>
            <w:tcW w:w="6686" w:type="dxa"/>
            <w:vAlign w:val="center"/>
          </w:tcPr>
          <w:p w14:paraId="0513746B" w14:textId="6B0856A8" w:rsidR="00B966EF" w:rsidRPr="00B966EF" w:rsidRDefault="00B966EF" w:rsidP="00B966EF">
            <w:pPr>
              <w:spacing w:after="40"/>
              <w:rPr>
                <w:sz w:val="18"/>
              </w:rPr>
            </w:pPr>
            <w:r w:rsidRPr="00B966EF">
              <w:rPr>
                <w:sz w:val="18"/>
              </w:rPr>
              <w:t>Inactivo impide nuevas asignaciones.</w:t>
            </w:r>
          </w:p>
        </w:tc>
      </w:tr>
    </w:tbl>
    <w:p w14:paraId="7E4AE8BD" w14:textId="77777777" w:rsidR="00B966EF" w:rsidRDefault="00B966EF" w:rsidP="00B966EF"/>
    <w:p w14:paraId="78F464DB" w14:textId="62A6E38B" w:rsidR="00B966EF" w:rsidRDefault="00B966EF" w:rsidP="00B966EF">
      <w:r>
        <w:t xml:space="preserve">Abra </w:t>
      </w:r>
      <w:r>
        <w:rPr>
          <w:b/>
        </w:rPr>
        <w:t>Catálogos base &gt; Folios y consecutivos</w:t>
      </w:r>
      <w:r>
        <w:t xml:space="preserve">, edite y guarde. El cambio sólo afecta altas nuevas. El corte Local incluye folio </w:t>
      </w:r>
      <w:r>
        <w:rPr>
          <w:rFonts w:ascii="Consolas" w:hAnsi="Consolas"/>
          <w:color w:val="351455"/>
          <w:sz w:val="18"/>
        </w:rPr>
        <w:t>sales.service_order</w:t>
      </w:r>
      <w:r>
        <w:t xml:space="preserve"> para órdenes de servicio.</w:t>
      </w:r>
    </w:p>
    <w:p w14:paraId="00A904D0" w14:textId="6F2A3F68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35245"/>
      <w:r>
        <w:rPr>
          <w:rFonts w:ascii="Aptos" w:hAnsi="Aptos"/>
          <w:b w:val="0"/>
          <w:color w:val="000000"/>
          <w:sz w:val="21"/>
        </w:rPr>
        <w:t>Alta de tenant desde Backoffice</w:t>
      </w:r>
      <w:bookmarkEnd w:id="10"/>
    </w:p>
    <w:p w14:paraId="27C3CDEA" w14:textId="1DBF41C2" w:rsidR="00B966EF" w:rsidRDefault="00B966EF" w:rsidP="00B966EF">
      <w:pPr>
        <w:pStyle w:val="Listaconnmeros"/>
      </w:pPr>
      <w:r>
        <w:t>Ingrese con un correo interno permitido.</w:t>
      </w:r>
    </w:p>
    <w:p w14:paraId="3A91F300" w14:textId="0C242A95" w:rsidR="00B966EF" w:rsidRDefault="00B966EF" w:rsidP="00B966EF">
      <w:pPr>
        <w:pStyle w:val="Listaconnmeros"/>
      </w:pPr>
      <w:r>
        <w:t>Capture nombre comercial, slug, razón social, plan, datos del owner, entidad fiscal y sucursal inicial.</w:t>
      </w:r>
    </w:p>
    <w:p w14:paraId="3D9BD678" w14:textId="1E7F9229" w:rsidR="00B966EF" w:rsidRDefault="00B966EF" w:rsidP="00B966EF">
      <w:pPr>
        <w:pStyle w:val="Listaconnmeros"/>
      </w:pPr>
      <w:r>
        <w:t>Seleccione módulos contratados y revise dependencias.</w:t>
      </w:r>
    </w:p>
    <w:p w14:paraId="4FFC39E2" w14:textId="1A458153" w:rsidR="00B966EF" w:rsidRDefault="00B966EF" w:rsidP="00B966EF">
      <w:pPr>
        <w:pStyle w:val="Listaconnmeros"/>
      </w:pPr>
      <w:r>
        <w:t>Confirme una sola vez. El alta crea tenant, owner, rol, membresía, entitlements y perfil organizacional.</w:t>
      </w:r>
    </w:p>
    <w:p w14:paraId="5F64855B" w14:textId="2E5CDB89" w:rsidR="00B966EF" w:rsidRDefault="00B966EF" w:rsidP="00B966EF">
      <w:pPr>
        <w:pStyle w:val="Listaconnmeros"/>
      </w:pPr>
      <w:r>
        <w:t>En QA, confirme que Firebase aceptó el correo para que el owner establezca su contraseña; revise spam y recuperación de contraseña.</w:t>
      </w:r>
    </w:p>
    <w:p w14:paraId="435E4C90" w14:textId="13ABF600" w:rsidR="00B966EF" w:rsidRDefault="00B966EF" w:rsidP="00B966EF">
      <w:pPr>
        <w:pStyle w:val="Listaconnmeros"/>
      </w:pPr>
      <w:r>
        <w:t>Acceda como owner y confirme tenant, módulos y permisos sin conservar tokens o contraseñas.</w:t>
      </w:r>
    </w:p>
    <w:p w14:paraId="41830BE8" w14:textId="5B6C9FD1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35246"/>
      <w:r>
        <w:rPr>
          <w:rFonts w:ascii="Aptos" w:hAnsi="Aptos"/>
          <w:b w:val="0"/>
          <w:color w:val="000000"/>
          <w:sz w:val="21"/>
        </w:rPr>
        <w:t>Suspender, reactivar o eliminar</w:t>
      </w:r>
      <w:bookmarkEnd w:id="11"/>
    </w:p>
    <w:p w14:paraId="2523B148" w14:textId="0139372A" w:rsidR="00B966EF" w:rsidRDefault="00B966EF" w:rsidP="00B966EF">
      <w:pPr>
        <w:pStyle w:val="Listaconvietas"/>
      </w:pPr>
      <w:r>
        <w:rPr>
          <w:b/>
        </w:rPr>
        <w:t>Suspender:</w:t>
      </w:r>
      <w:r>
        <w:t xml:space="preserve"> bloquea el acceso y conserva configuración.</w:t>
      </w:r>
    </w:p>
    <w:p w14:paraId="0069E60B" w14:textId="29E28CB3" w:rsidR="00B966EF" w:rsidRDefault="00B966EF" w:rsidP="00B966EF">
      <w:pPr>
        <w:pStyle w:val="Listaconvietas"/>
      </w:pPr>
      <w:r>
        <w:rPr>
          <w:b/>
        </w:rPr>
        <w:t>Reactivar:</w:t>
      </w:r>
      <w:r>
        <w:t xml:space="preserve"> devuelve acceso cuando el estado y la suscripción lo permiten.</w:t>
      </w:r>
    </w:p>
    <w:p w14:paraId="736FC8EC" w14:textId="09D1A763" w:rsidR="00B966EF" w:rsidRDefault="00B966EF" w:rsidP="00B966EF">
      <w:pPr>
        <w:pStyle w:val="Listaconvietas"/>
      </w:pPr>
      <w:r>
        <w:rPr>
          <w:b/>
        </w:rPr>
        <w:t>Eliminar:</w:t>
      </w:r>
      <w:r>
        <w:t xml:space="preserve"> retira configuración administrativa, roles, membresías y entitlements; exige confirmación destructiva.</w:t>
      </w:r>
    </w:p>
    <w:p w14:paraId="2352AE18" w14:textId="35ED8977" w:rsidR="00B966EF" w:rsidRDefault="00B966EF" w:rsidP="00B966EF">
      <w:r>
        <w:t>Después de una eliminación recargue la lista y confirme que el tenant ya no aparezca. La limpieza de datos propiedad de otros servicios debe respetar su ownership y no se sustituye por borrar filas desde Admin.</w:t>
      </w:r>
    </w:p>
    <w:p w14:paraId="6C6ACF86" w14:textId="58A83A65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35247"/>
      <w:r>
        <w:rPr>
          <w:rFonts w:ascii="Aptos" w:hAnsi="Aptos"/>
          <w:b w:val="0"/>
          <w:color w:val="000000"/>
          <w:sz w:val="21"/>
        </w:rPr>
        <w:t>Mensajes frecuentes</w:t>
      </w:r>
      <w:bookmarkEnd w:id="12"/>
    </w:p>
    <w:p w14:paraId="312542DF" w14:textId="2E17CDFE" w:rsidR="00B966EF" w:rsidRDefault="00B966EF" w:rsidP="00B966EF">
      <w:pPr>
        <w:pStyle w:val="Listaconvietas"/>
      </w:pPr>
      <w:r>
        <w:rPr>
          <w:b/>
        </w:rPr>
        <w:t>Acceso denegado a Backoffice:</w:t>
      </w:r>
      <w:r>
        <w:t xml:space="preserve"> use un correo interno allowlisted; owner no es suficiente.</w:t>
      </w:r>
    </w:p>
    <w:p w14:paraId="3CE2D46C" w14:textId="31D6C2DF" w:rsidR="00B966EF" w:rsidRDefault="00B966EF" w:rsidP="00B966EF">
      <w:pPr>
        <w:pStyle w:val="Listaconvietas"/>
      </w:pPr>
      <w:r>
        <w:rPr>
          <w:b/>
        </w:rPr>
        <w:t>Módulo con dependencias:</w:t>
      </w:r>
      <w:r>
        <w:t xml:space="preserve"> revise autoridades requeridas para el flujo real.</w:t>
      </w:r>
    </w:p>
    <w:p w14:paraId="45D583E7" w14:textId="398CC43D" w:rsidR="00B966EF" w:rsidRDefault="00B966EF" w:rsidP="00B966EF">
      <w:pPr>
        <w:pStyle w:val="Listaconvietas"/>
      </w:pPr>
      <w:r>
        <w:rPr>
          <w:b/>
        </w:rPr>
        <w:t>Permiso no efectivo:</w:t>
      </w:r>
      <w:r>
        <w:t xml:space="preserve"> confirme tenant activo, rol, entitlement y sesión renovada.</w:t>
      </w:r>
    </w:p>
    <w:p w14:paraId="0A54A594" w14:textId="583DB3E7" w:rsidR="00B966EF" w:rsidRDefault="00B966EF" w:rsidP="00B966EF">
      <w:pPr>
        <w:pStyle w:val="Listaconvietas"/>
      </w:pPr>
      <w:r>
        <w:rPr>
          <w:b/>
        </w:rPr>
        <w:t>No se puede retroceder la secuencia:</w:t>
      </w:r>
      <w:r>
        <w:t xml:space="preserve"> conserve un siguiente número igual o mayor.</w:t>
      </w:r>
    </w:p>
    <w:p w14:paraId="6BD29151" w14:textId="77306C64" w:rsidR="00B966EF" w:rsidRDefault="00B966EF" w:rsidP="00B966EF">
      <w:pPr>
        <w:pStyle w:val="Listaconvietas"/>
      </w:pPr>
      <w:r>
        <w:rPr>
          <w:b/>
        </w:rPr>
        <w:t>Secuencia inactiva o no encontrada:</w:t>
      </w:r>
      <w:r>
        <w:t xml:space="preserve"> active o configure el tipo documental.</w:t>
      </w:r>
    </w:p>
    <w:p w14:paraId="058B5E8A" w14:textId="4901F9ED" w:rsidR="00B966EF" w:rsidRDefault="00B966EF" w:rsidP="00B966EF">
      <w:pPr>
        <w:pStyle w:val="Listaconvietas"/>
      </w:pPr>
      <w:r>
        <w:rPr>
          <w:b/>
        </w:rPr>
        <w:t>Correo no recibido:</w:t>
      </w:r>
      <w:r>
        <w:t xml:space="preserve"> revise spam y use recuperación con el correo exacto.</w:t>
      </w:r>
    </w:p>
    <w:p w14:paraId="366284D6" w14:textId="0FB12DFA" w:rsidR="00B966EF" w:rsidRDefault="00B966EF" w:rsidP="00B966EF">
      <w:pPr>
        <w:pStyle w:val="Listaconvietas"/>
      </w:pPr>
      <w:r>
        <w:rPr>
          <w:b/>
        </w:rPr>
        <w:t>Tenant suspendido:</w:t>
      </w:r>
      <w:r>
        <w:t xml:space="preserve"> reactívelo antes de probar acceso operativo.</w:t>
      </w:r>
    </w:p>
    <w:p w14:paraId="238C3925" w14:textId="5578F75D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3" w:name="_Toc239235248"/>
      <w:r>
        <w:rPr>
          <w:rFonts w:ascii="Aptos" w:hAnsi="Aptos"/>
          <w:b w:val="0"/>
          <w:color w:val="000000"/>
          <w:sz w:val="21"/>
        </w:rPr>
        <w:t>Limitaciones vigentes</w:t>
      </w:r>
      <w:bookmarkEnd w:id="13"/>
    </w:p>
    <w:p w14:paraId="21DC965C" w14:textId="3DFDB187" w:rsidR="00B966EF" w:rsidRDefault="00B966EF" w:rsidP="00B966EF">
      <w:r>
        <w:t>No existe checkout/billing operativo, provisioning service-to-service endurecido, reintento durable de invitaciones/limpiezas Firebase ni sincronización automática con clientes API externos. Gastos, Costos, Reportes avanzados y Contabilidad siguen definidos pero no implementados como servicios operativos.</w:t>
      </w:r>
    </w:p>
    <w:p w14:paraId="65A3514C" w14:textId="4572C725" w:rsidR="00B966EF" w:rsidRDefault="00B966EF" w:rsidP="00B966EF">
      <w:pPr>
        <w:pStyle w:val="Ttulo2"/>
        <w:rPr>
          <w:rFonts w:ascii="Aptos" w:hAnsi="Aptos"/>
          <w:b w:val="0"/>
          <w:color w:val="000000"/>
          <w:sz w:val="21"/>
        </w:rPr>
      </w:pPr>
      <w:bookmarkStart w:id="14" w:name="_Toc239235249"/>
      <w:r>
        <w:rPr>
          <w:rFonts w:ascii="Aptos" w:hAnsi="Aptos"/>
          <w:b w:val="0"/>
          <w:color w:val="000000"/>
          <w:sz w:val="21"/>
        </w:rPr>
        <w:t>Soporte y seguridad</w:t>
      </w:r>
      <w:bookmarkEnd w:id="14"/>
    </w:p>
    <w:p w14:paraId="6AD8B44A" w14:textId="16896582" w:rsidR="00B966EF" w:rsidRDefault="00B966EF" w:rsidP="00B966EF">
      <w:r>
        <w:t>Conserve tenant visible, correo, módulo, rol, acción y referencia de correlación. Nunca comparta tokens, enlaces vigentes de invitación o contraseñas. Para pruebas use sólo datos ficticios y el tenant autorizado para el ambiente.</w:t>
      </w:r>
    </w:p>
    <w:p w14:paraId="3BDB2E82" w14:textId="77777777" w:rsidR="00B966EF" w:rsidRPr="00B966EF" w:rsidRDefault="00B966EF" w:rsidP="00B966EF"/>
    <w:sectPr w:rsidR="00B966EF" w:rsidRPr="00B966EF" w:rsidSect="00B966E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F1124" w14:textId="77777777" w:rsidR="00B71BC0" w:rsidRDefault="00B71BC0" w:rsidP="00B966EF">
      <w:pPr>
        <w:spacing w:after="0" w:line="240" w:lineRule="auto"/>
      </w:pPr>
      <w:r>
        <w:separator/>
      </w:r>
    </w:p>
  </w:endnote>
  <w:endnote w:type="continuationSeparator" w:id="0">
    <w:p w14:paraId="76ADBEBB" w14:textId="77777777" w:rsidR="00B71BC0" w:rsidRDefault="00B71BC0" w:rsidP="00B96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BDD61" w14:textId="77777777" w:rsidR="00B966EF" w:rsidRDefault="00B966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EC952" w14:textId="058283EF" w:rsidR="00B966EF" w:rsidRPr="00B966EF" w:rsidRDefault="00B966EF" w:rsidP="00B966EF">
    <w:pPr>
      <w:pStyle w:val="Piedepgina"/>
      <w:jc w:val="center"/>
      <w:rPr>
        <w:color w:val="5A5A5A"/>
        <w:sz w:val="16"/>
      </w:rPr>
    </w:pPr>
    <w:r w:rsidRPr="00B966EF">
      <w:rPr>
        <w:color w:val="5A5A5A"/>
        <w:sz w:val="16"/>
      </w:rPr>
      <w:t xml:space="preserve">Revision 2026-09-02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944E6" w14:textId="77777777" w:rsidR="00B966EF" w:rsidRDefault="00B966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7BE36" w14:textId="77777777" w:rsidR="00B71BC0" w:rsidRDefault="00B71BC0" w:rsidP="00B966EF">
      <w:pPr>
        <w:spacing w:after="0" w:line="240" w:lineRule="auto"/>
      </w:pPr>
      <w:r>
        <w:separator/>
      </w:r>
    </w:p>
  </w:footnote>
  <w:footnote w:type="continuationSeparator" w:id="0">
    <w:p w14:paraId="16E6AE87" w14:textId="77777777" w:rsidR="00B71BC0" w:rsidRDefault="00B71BC0" w:rsidP="00B966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3E95" w14:textId="77777777" w:rsidR="00B966EF" w:rsidRDefault="00B966E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0187E" w14:textId="34551A86" w:rsidR="00B966EF" w:rsidRPr="00B966EF" w:rsidRDefault="00B966EF" w:rsidP="00B966EF">
    <w:pPr>
      <w:pStyle w:val="Encabezado"/>
      <w:jc w:val="right"/>
      <w:rPr>
        <w:color w:val="5B2A86"/>
        <w:sz w:val="16"/>
      </w:rPr>
    </w:pPr>
    <w:r w:rsidRPr="00B966EF">
      <w:rPr>
        <w:color w:val="5B2A86"/>
        <w:sz w:val="16"/>
      </w:rPr>
      <w:t>ERClave | Manual funcional | Administración y Backoffice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CFDAB" w14:textId="77777777" w:rsidR="00B966EF" w:rsidRDefault="00B966E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A096436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AEE679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945736">
    <w:abstractNumId w:val="1"/>
  </w:num>
  <w:num w:numId="2" w16cid:durableId="376854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6EF"/>
    <w:rsid w:val="00090542"/>
    <w:rsid w:val="00384ACF"/>
    <w:rsid w:val="00495AB8"/>
    <w:rsid w:val="00B71BC0"/>
    <w:rsid w:val="00B9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94B70"/>
  <w15:chartTrackingRefBased/>
  <w15:docId w15:val="{8486B9D2-A37E-40FB-AA4E-4445B19D4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B966EF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66EF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66EF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6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6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6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6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6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6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66EF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966EF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66EF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66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66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66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66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66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66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6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6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6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6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6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66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66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66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6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66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66E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966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66EF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B966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66EF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B966E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966EF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B966EF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B966EF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B966E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1224</Words>
  <Characters>7408</Characters>
  <Application>Microsoft Office Word</Application>
  <DocSecurity>0</DocSecurity>
  <Lines>185</Lines>
  <Paragraphs>159</Paragraphs>
  <ScaleCrop>false</ScaleCrop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1</cp:revision>
  <dcterms:created xsi:type="dcterms:W3CDTF">2026-09-02T15:53:00Z</dcterms:created>
  <dcterms:modified xsi:type="dcterms:W3CDTF">2026-09-02T15:53:00Z</dcterms:modified>
</cp:coreProperties>
</file>