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funcional de Producción</w:t>
      </w:r>
    </w:p>
    <w:p>
      <w:pPr>
        <w:pStyle w:val="ListBullet"/>
      </w:pPr>
      <w:r>
        <w:t>Audiencia: planeadores, supervisores, responsables de etapa y personal de producción</w:t>
      </w:r>
    </w:p>
    <w:p>
      <w:pPr>
        <w:pStyle w:val="ListBullet"/>
      </w:pPr>
      <w:r>
        <w:t>Alcance por ambiente: Local actual y QA; las mejoras pendientes de promoción se indican expresamente</w:t>
      </w:r>
    </w:p>
    <w:p>
      <w:pPr>
        <w:pStyle w:val="ListBullet"/>
      </w:pPr>
      <w:r>
        <w:t>Última revisión: 2026-09-14</w:t>
      </w:r>
    </w:p>
    <w:p>
      <w:pPr>
        <w:pStyle w:val="ListBullet"/>
      </w:pPr>
      <w:r>
        <w:t xml:space="preserve">Versión funcional de referencia: QA </w:t>
      </w:r>
      <w:r>
        <w:rPr>
          <w:rFonts w:ascii="Consolas" w:hAnsi="Consolas"/>
          <w:sz w:val="18"/>
        </w:rPr>
        <w:t>b63cdad</w:t>
      </w:r>
      <w:r>
        <w:t>; mejoras Local de formularios, margen y evidencia pendientes de promoción</w:t>
      </w:r>
    </w:p>
    <w:p>
      <w:pPr>
        <w:pStyle w:val="ListBullet"/>
      </w:pPr>
      <w:r>
        <w:t>Capacidades cubiertas: productos y servicios, recetas versionadas, maquinaria, planeación multídía, órdenes, etapas, entrega previa de materiales, devolución de sobrantes, producto terminado y reportes estándar</w:t>
      </w:r>
    </w:p>
    <w:p>
      <w:pPr>
        <w:pStyle w:val="Heading1"/>
      </w:pPr>
      <w:r>
        <w:t>Propósito</w:t>
      </w:r>
    </w:p>
    <w:p>
      <w:r>
        <w:t>Producción define qué se fabrica, con qué receta y recursos, durante qué horizonte y cómo se confirma el avance. El servicio conserva la definición productiva y solicita a otros módulos las validaciones que les pertenecen; nunca modifica directamente Inventario o Recursos Humanos.</w:t>
      </w:r>
    </w:p>
    <w:p>
      <w:pPr>
        <w:pStyle w:val="Heading1"/>
      </w:pPr>
      <w:r>
        <w:t>Corregir errores de captura</w:t>
      </w:r>
    </w:p>
    <w:p>
      <w:r>
        <w:rPr>
          <w:b/>
        </w:rPr>
        <w:t>Disponible en Local; pendiente de promoción a QA.</w:t>
      </w:r>
      <w:r>
        <w:t xml:space="preserve"> Si un dato es inválido, el formulario muestra una explicación junto al campo y un resumen desde el que puede ir al control correspondiente. Corrija el dato indicado y vuelva a guardar; la captura se conserva mientras el formulario permanezca abierto. En partidas, revise la fila señalada y seleccione nuevamente el registro del catálogo si corresponde.</w:t>
      </w:r>
    </w:p>
    <w:p>
      <w:r>
        <w:t>Los errores de permisos, conexión o reglas generales se muestran como un aviso de la operación. Si no aparece un campo señalado, no cambie datos al azar: revise el aviso y conserve la referencia de correlación para soporte. Corregir un campo no elimina los avisos de los demás. Cerrar el formulario o recargar no garantiza conservar cambios sin guardar.</w:t>
      </w:r>
    </w:p>
    <w:p>
      <w:pPr>
        <w:pStyle w:val="Heading1"/>
      </w:pPr>
      <w:r>
        <w:t>Disponibilidad por ambiente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9"/>
        <w:gridCol w:w="2211"/>
        <w:gridCol w:w="2211"/>
      </w:tblGrid>
      <w:tr>
        <w:trPr>
          <w:cantSplit/>
          <w:tblHeader/>
        </w:trPr>
        <w:tc>
          <w:tcPr>
            <w:tcW w:type="dxa" w:w="4989"/>
            <w:vAlign w:val="center"/>
            <w:tcMar>
              <w:top w:w="85" w:type="dxa"/>
              <w:bottom w:w="85" w:type="dxa"/>
              <w:left w:w="100" w:type="dxa"/>
              <w:right w:w="100" w:type="dxa"/>
            </w:tcMar>
            <w:shd w:fill="243746"/>
          </w:tcPr>
          <w:p>
            <w:pPr>
              <w:spacing w:after="0" w:line="240" w:lineRule="auto"/>
            </w:pPr>
            <w:r>
              <w:rPr>
                <w:b/>
                <w:color w:val="FFFFFF"/>
                <w:sz w:val="19"/>
              </w:rPr>
              <w:t>Capacidad</w:t>
            </w:r>
          </w:p>
        </w:tc>
        <w:tc>
          <w:tcPr>
            <w:tcW w:type="dxa" w:w="2211"/>
            <w:vAlign w:val="center"/>
            <w:tcMar>
              <w:top w:w="85" w:type="dxa"/>
              <w:bottom w:w="85" w:type="dxa"/>
              <w:left w:w="100" w:type="dxa"/>
              <w:right w:w="100" w:type="dxa"/>
            </w:tcMar>
            <w:shd w:fill="243746"/>
          </w:tcPr>
          <w:p>
            <w:pPr>
              <w:spacing w:after="0" w:line="240" w:lineRule="auto"/>
            </w:pPr>
            <w:r>
              <w:rPr>
                <w:b/>
                <w:color w:val="FFFFFF"/>
                <w:sz w:val="19"/>
              </w:rPr>
              <w:t>Local</w:t>
            </w:r>
          </w:p>
        </w:tc>
        <w:tc>
          <w:tcPr>
            <w:tcW w:type="dxa" w:w="2211"/>
            <w:vAlign w:val="center"/>
            <w:tcMar>
              <w:top w:w="85" w:type="dxa"/>
              <w:bottom w:w="85" w:type="dxa"/>
              <w:left w:w="100" w:type="dxa"/>
              <w:right w:w="100" w:type="dxa"/>
            </w:tcMar>
            <w:shd w:fill="243746"/>
          </w:tcPr>
          <w:p>
            <w:pPr>
              <w:spacing w:after="0" w:line="240" w:lineRule="auto"/>
            </w:pPr>
            <w:r>
              <w:rPr>
                <w:b/>
                <w:color w:val="FFFFFF"/>
                <w:sz w:val="19"/>
              </w:rPr>
              <w:t>QA</w:t>
            </w:r>
          </w:p>
        </w:tc>
      </w:tr>
      <w:tr>
        <w:trPr>
          <w:cantSplit/>
        </w:trPr>
        <w:tc>
          <w:tcPr>
            <w:tcW w:type="dxa" w:w="4989"/>
            <w:vAlign w:val="center"/>
            <w:tcMar>
              <w:top w:w="85" w:type="dxa"/>
              <w:bottom w:w="85" w:type="dxa"/>
              <w:left w:w="100" w:type="dxa"/>
              <w:right w:w="100" w:type="dxa"/>
            </w:tcMar>
            <w:shd w:fill="FFFFFF"/>
          </w:tcPr>
          <w:p>
            <w:pPr>
              <w:spacing w:after="0" w:line="240" w:lineRule="auto"/>
            </w:pPr>
            <w:r>
              <w:rPr>
                <w:sz w:val="19"/>
              </w:rPr>
              <w:t>Productos/servicios y recetas versionadas</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r>
      <w:tr>
        <w:trPr>
          <w:cantSplit/>
        </w:trPr>
        <w:tc>
          <w:tcPr>
            <w:tcW w:type="dxa" w:w="4989"/>
            <w:vAlign w:val="center"/>
            <w:tcMar>
              <w:top w:w="85" w:type="dxa"/>
              <w:bottom w:w="85" w:type="dxa"/>
              <w:left w:w="100" w:type="dxa"/>
              <w:right w:w="100" w:type="dxa"/>
            </w:tcMar>
            <w:shd w:fill="F2F5F7"/>
          </w:tcPr>
          <w:p>
            <w:pPr>
              <w:spacing w:after="0" w:line="240" w:lineRule="auto"/>
            </w:pPr>
            <w:r>
              <w:rPr>
                <w:sz w:val="19"/>
              </w:rPr>
              <w:t>Margen esperado mayor a 100%</w:t>
            </w:r>
          </w:p>
        </w:tc>
        <w:tc>
          <w:tcPr>
            <w:tcW w:type="dxa" w:w="2211"/>
            <w:vAlign w:val="center"/>
            <w:tcMar>
              <w:top w:w="85" w:type="dxa"/>
              <w:bottom w:w="85" w:type="dxa"/>
              <w:left w:w="100" w:type="dxa"/>
              <w:right w:w="100" w:type="dxa"/>
            </w:tcMar>
            <w:shd w:fill="F2F5F7"/>
          </w:tcPr>
          <w:p>
            <w:pPr>
              <w:spacing w:after="0" w:line="240" w:lineRule="auto"/>
            </w:pPr>
            <w:r>
              <w:rPr>
                <w:sz w:val="19"/>
              </w:rPr>
              <w:t>Disponible</w:t>
            </w:r>
          </w:p>
        </w:tc>
        <w:tc>
          <w:tcPr>
            <w:tcW w:type="dxa" w:w="2211"/>
            <w:vAlign w:val="center"/>
            <w:tcMar>
              <w:top w:w="85" w:type="dxa"/>
              <w:bottom w:w="85" w:type="dxa"/>
              <w:left w:w="100" w:type="dxa"/>
              <w:right w:w="100" w:type="dxa"/>
            </w:tcMar>
            <w:shd w:fill="F2F5F7"/>
          </w:tcPr>
          <w:p>
            <w:pPr>
              <w:spacing w:after="0" w:line="240" w:lineRule="auto"/>
            </w:pPr>
            <w:r>
              <w:rPr>
                <w:sz w:val="19"/>
              </w:rPr>
              <w:t>Pendiente de promoción</w:t>
            </w:r>
          </w:p>
        </w:tc>
      </w:tr>
      <w:tr>
        <w:trPr>
          <w:cantSplit/>
        </w:trPr>
        <w:tc>
          <w:tcPr>
            <w:tcW w:type="dxa" w:w="4989"/>
            <w:vAlign w:val="center"/>
            <w:tcMar>
              <w:top w:w="85" w:type="dxa"/>
              <w:bottom w:w="85" w:type="dxa"/>
              <w:left w:w="100" w:type="dxa"/>
              <w:right w:w="100" w:type="dxa"/>
            </w:tcMar>
            <w:shd w:fill="FFFFFF"/>
          </w:tcPr>
          <w:p>
            <w:pPr>
              <w:spacing w:after="0" w:line="240" w:lineRule="auto"/>
            </w:pPr>
            <w:r>
              <w:rPr>
                <w:sz w:val="19"/>
              </w:rPr>
              <w:t>Evidencia inicial/final de servicios y adjuntos con vencimiento</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c>
          <w:tcPr>
            <w:tcW w:type="dxa" w:w="2211"/>
            <w:vAlign w:val="center"/>
            <w:tcMar>
              <w:top w:w="85" w:type="dxa"/>
              <w:bottom w:w="85" w:type="dxa"/>
              <w:left w:w="100" w:type="dxa"/>
              <w:right w:w="100" w:type="dxa"/>
            </w:tcMar>
            <w:shd w:fill="FFFFFF"/>
          </w:tcPr>
          <w:p>
            <w:pPr>
              <w:spacing w:after="0" w:line="240" w:lineRule="auto"/>
            </w:pPr>
            <w:r>
              <w:rPr>
                <w:sz w:val="19"/>
              </w:rPr>
              <w:t>Pendiente de promoción</w:t>
            </w:r>
          </w:p>
        </w:tc>
      </w:tr>
      <w:tr>
        <w:trPr>
          <w:cantSplit/>
        </w:trPr>
        <w:tc>
          <w:tcPr>
            <w:tcW w:type="dxa" w:w="4989"/>
            <w:vAlign w:val="center"/>
            <w:tcMar>
              <w:top w:w="85" w:type="dxa"/>
              <w:bottom w:w="85" w:type="dxa"/>
              <w:left w:w="100" w:type="dxa"/>
              <w:right w:w="100" w:type="dxa"/>
            </w:tcMar>
            <w:shd w:fill="F2F5F7"/>
          </w:tcPr>
          <w:p>
            <w:pPr>
              <w:spacing w:after="0" w:line="240" w:lineRule="auto"/>
            </w:pPr>
            <w:r>
              <w:rPr>
                <w:sz w:val="19"/>
              </w:rPr>
              <w:t>Órdenes, etapas y avance ponderado</w:t>
            </w:r>
          </w:p>
        </w:tc>
        <w:tc>
          <w:tcPr>
            <w:tcW w:type="dxa" w:w="2211"/>
            <w:vAlign w:val="center"/>
            <w:tcMar>
              <w:top w:w="85" w:type="dxa"/>
              <w:bottom w:w="85" w:type="dxa"/>
              <w:left w:w="100" w:type="dxa"/>
              <w:right w:w="100" w:type="dxa"/>
            </w:tcMar>
            <w:shd w:fill="F2F5F7"/>
          </w:tcPr>
          <w:p>
            <w:pPr>
              <w:spacing w:after="0" w:line="240" w:lineRule="auto"/>
            </w:pPr>
            <w:r>
              <w:rPr>
                <w:sz w:val="19"/>
              </w:rPr>
              <w:t>Disponible</w:t>
            </w:r>
          </w:p>
        </w:tc>
        <w:tc>
          <w:tcPr>
            <w:tcW w:type="dxa" w:w="2211"/>
            <w:vAlign w:val="center"/>
            <w:tcMar>
              <w:top w:w="85" w:type="dxa"/>
              <w:bottom w:w="85" w:type="dxa"/>
              <w:left w:w="100" w:type="dxa"/>
              <w:right w:w="100" w:type="dxa"/>
            </w:tcMar>
            <w:shd w:fill="F2F5F7"/>
          </w:tcPr>
          <w:p>
            <w:pPr>
              <w:spacing w:after="0" w:line="240" w:lineRule="auto"/>
            </w:pPr>
            <w:r>
              <w:rPr>
                <w:sz w:val="19"/>
              </w:rPr>
              <w:t>Disponible</w:t>
            </w:r>
          </w:p>
        </w:tc>
      </w:tr>
      <w:tr>
        <w:trPr>
          <w:cantSplit/>
        </w:trPr>
        <w:tc>
          <w:tcPr>
            <w:tcW w:type="dxa" w:w="4989"/>
            <w:vAlign w:val="center"/>
            <w:tcMar>
              <w:top w:w="85" w:type="dxa"/>
              <w:bottom w:w="85" w:type="dxa"/>
              <w:left w:w="100" w:type="dxa"/>
              <w:right w:w="100" w:type="dxa"/>
            </w:tcMar>
            <w:shd w:fill="FFFFFF"/>
          </w:tcPr>
          <w:p>
            <w:pPr>
              <w:spacing w:after="0" w:line="240" w:lineRule="auto"/>
            </w:pPr>
            <w:r>
              <w:rPr>
                <w:sz w:val="19"/>
              </w:rPr>
              <w:t>Reservas y salida de materiales confirmada por Almacén antes del inicio</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r>
      <w:tr>
        <w:trPr>
          <w:cantSplit/>
        </w:trPr>
        <w:tc>
          <w:tcPr>
            <w:tcW w:type="dxa" w:w="4989"/>
            <w:vAlign w:val="center"/>
            <w:tcMar>
              <w:top w:w="85" w:type="dxa"/>
              <w:bottom w:w="85" w:type="dxa"/>
              <w:left w:w="100" w:type="dxa"/>
              <w:right w:w="100" w:type="dxa"/>
            </w:tcMar>
            <w:shd w:fill="F2F5F7"/>
          </w:tcPr>
          <w:p>
            <w:pPr>
              <w:spacing w:after="0" w:line="240" w:lineRule="auto"/>
            </w:pPr>
            <w:r>
              <w:rPr>
                <w:sz w:val="19"/>
              </w:rPr>
              <w:t>Devolución de sobrantes de órdenes terminadas o canceladas</w:t>
            </w:r>
          </w:p>
        </w:tc>
        <w:tc>
          <w:tcPr>
            <w:tcW w:type="dxa" w:w="2211"/>
            <w:vAlign w:val="center"/>
            <w:tcMar>
              <w:top w:w="85" w:type="dxa"/>
              <w:bottom w:w="85" w:type="dxa"/>
              <w:left w:w="100" w:type="dxa"/>
              <w:right w:w="100" w:type="dxa"/>
            </w:tcMar>
            <w:shd w:fill="F2F5F7"/>
          </w:tcPr>
          <w:p>
            <w:pPr>
              <w:spacing w:after="0" w:line="240" w:lineRule="auto"/>
            </w:pPr>
            <w:r>
              <w:rPr>
                <w:sz w:val="19"/>
              </w:rPr>
              <w:t>Disponible</w:t>
            </w:r>
          </w:p>
        </w:tc>
        <w:tc>
          <w:tcPr>
            <w:tcW w:type="dxa" w:w="2211"/>
            <w:vAlign w:val="center"/>
            <w:tcMar>
              <w:top w:w="85" w:type="dxa"/>
              <w:bottom w:w="85" w:type="dxa"/>
              <w:left w:w="100" w:type="dxa"/>
              <w:right w:w="100" w:type="dxa"/>
            </w:tcMar>
            <w:shd w:fill="F2F5F7"/>
          </w:tcPr>
          <w:p>
            <w:pPr>
              <w:spacing w:after="0" w:line="240" w:lineRule="auto"/>
            </w:pPr>
            <w:r>
              <w:rPr>
                <w:sz w:val="19"/>
              </w:rPr>
              <w:t>Disponible</w:t>
            </w:r>
          </w:p>
        </w:tc>
      </w:tr>
      <w:tr>
        <w:trPr>
          <w:cantSplit/>
        </w:trPr>
        <w:tc>
          <w:tcPr>
            <w:tcW w:type="dxa" w:w="4989"/>
            <w:vAlign w:val="center"/>
            <w:tcMar>
              <w:top w:w="85" w:type="dxa"/>
              <w:bottom w:w="85" w:type="dxa"/>
              <w:left w:w="100" w:type="dxa"/>
              <w:right w:w="100" w:type="dxa"/>
            </w:tcMar>
            <w:shd w:fill="FFFFFF"/>
          </w:tcPr>
          <w:p>
            <w:pPr>
              <w:spacing w:after="0" w:line="240" w:lineRule="auto"/>
            </w:pPr>
            <w:r>
              <w:rPr>
                <w:sz w:val="19"/>
              </w:rPr>
              <w:t>Capacidad laboral y de maquinaria multídía</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r>
      <w:tr>
        <w:trPr>
          <w:cantSplit/>
        </w:trPr>
        <w:tc>
          <w:tcPr>
            <w:tcW w:type="dxa" w:w="4989"/>
            <w:vAlign w:val="center"/>
            <w:tcMar>
              <w:top w:w="85" w:type="dxa"/>
              <w:bottom w:w="85" w:type="dxa"/>
              <w:left w:w="100" w:type="dxa"/>
              <w:right w:w="100" w:type="dxa"/>
            </w:tcMar>
            <w:shd w:fill="F2F5F7"/>
          </w:tcPr>
          <w:p>
            <w:pPr>
              <w:spacing w:after="0" w:line="240" w:lineRule="auto"/>
            </w:pPr>
            <w:r>
              <w:rPr>
                <w:sz w:val="19"/>
              </w:rPr>
              <w:t>Recepción de producto terminado en Almacenes</w:t>
            </w:r>
          </w:p>
        </w:tc>
        <w:tc>
          <w:tcPr>
            <w:tcW w:type="dxa" w:w="2211"/>
            <w:vAlign w:val="center"/>
            <w:tcMar>
              <w:top w:w="85" w:type="dxa"/>
              <w:bottom w:w="85" w:type="dxa"/>
              <w:left w:w="100" w:type="dxa"/>
              <w:right w:w="100" w:type="dxa"/>
            </w:tcMar>
            <w:shd w:fill="F2F5F7"/>
          </w:tcPr>
          <w:p>
            <w:pPr>
              <w:spacing w:after="0" w:line="240" w:lineRule="auto"/>
            </w:pPr>
            <w:r>
              <w:rPr>
                <w:sz w:val="19"/>
              </w:rPr>
              <w:t>Disponible</w:t>
            </w:r>
          </w:p>
        </w:tc>
        <w:tc>
          <w:tcPr>
            <w:tcW w:type="dxa" w:w="2211"/>
            <w:vAlign w:val="center"/>
            <w:tcMar>
              <w:top w:w="85" w:type="dxa"/>
              <w:bottom w:w="85" w:type="dxa"/>
              <w:left w:w="100" w:type="dxa"/>
              <w:right w:w="100" w:type="dxa"/>
            </w:tcMar>
            <w:shd w:fill="F2F5F7"/>
          </w:tcPr>
          <w:p>
            <w:pPr>
              <w:spacing w:after="0" w:line="240" w:lineRule="auto"/>
            </w:pPr>
            <w:r>
              <w:rPr>
                <w:sz w:val="19"/>
              </w:rPr>
              <w:t>Disponible</w:t>
            </w:r>
          </w:p>
        </w:tc>
      </w:tr>
      <w:tr>
        <w:trPr>
          <w:cantSplit/>
        </w:trPr>
        <w:tc>
          <w:tcPr>
            <w:tcW w:type="dxa" w:w="4989"/>
            <w:vAlign w:val="center"/>
            <w:tcMar>
              <w:top w:w="85" w:type="dxa"/>
              <w:bottom w:w="85" w:type="dxa"/>
              <w:left w:w="100" w:type="dxa"/>
              <w:right w:w="100" w:type="dxa"/>
            </w:tcMar>
            <w:shd w:fill="FFFFFF"/>
          </w:tcPr>
          <w:p>
            <w:pPr>
              <w:spacing w:after="0" w:line="240" w:lineRule="auto"/>
            </w:pPr>
            <w:r>
              <w:rPr>
                <w:sz w:val="19"/>
              </w:rPr>
              <w:t>Calendarios configurables, turnos, festivos y ausencias</w:t>
            </w:r>
          </w:p>
        </w:tc>
        <w:tc>
          <w:tcPr>
            <w:tcW w:type="dxa" w:w="2211"/>
            <w:vAlign w:val="center"/>
            <w:tcMar>
              <w:top w:w="85" w:type="dxa"/>
              <w:bottom w:w="85" w:type="dxa"/>
              <w:left w:w="100" w:type="dxa"/>
              <w:right w:w="100" w:type="dxa"/>
            </w:tcMar>
            <w:shd w:fill="FFFFFF"/>
          </w:tcPr>
          <w:p>
            <w:pPr>
              <w:spacing w:after="0" w:line="240" w:lineRule="auto"/>
            </w:pPr>
            <w:r>
              <w:rPr>
                <w:sz w:val="19"/>
              </w:rPr>
              <w:t>No disponible</w:t>
            </w:r>
          </w:p>
        </w:tc>
        <w:tc>
          <w:tcPr>
            <w:tcW w:type="dxa" w:w="2211"/>
            <w:vAlign w:val="center"/>
            <w:tcMar>
              <w:top w:w="85" w:type="dxa"/>
              <w:bottom w:w="85" w:type="dxa"/>
              <w:left w:w="100" w:type="dxa"/>
              <w:right w:w="100" w:type="dxa"/>
            </w:tcMar>
            <w:shd w:fill="FFFFFF"/>
          </w:tcPr>
          <w:p>
            <w:pPr>
              <w:spacing w:after="0" w:line="240" w:lineRule="auto"/>
            </w:pPr>
            <w:r>
              <w:rPr>
                <w:sz w:val="19"/>
              </w:rPr>
              <w:t>No disponible</w:t>
            </w:r>
          </w:p>
        </w:tc>
      </w:tr>
    </w:tbl>
    <w:p>
      <w:pPr>
        <w:spacing w:after="0"/>
      </w:pPr>
    </w:p>
    <w:p>
      <w:pPr>
        <w:pStyle w:val="Heading1"/>
      </w:pPr>
      <w:r>
        <w:t>Mapa del módulo</w:t>
      </w:r>
    </w:p>
    <w:p>
      <w:pPr>
        <w:pStyle w:val="ListBullet"/>
      </w:pPr>
      <w:r>
        <w:rPr>
          <w:b/>
        </w:rPr>
        <w:t>Productos y servicios:</w:t>
      </w:r>
      <w:r>
        <w:t xml:space="preserve"> catálogo maestro productivo.</w:t>
      </w:r>
    </w:p>
    <w:p>
      <w:pPr>
        <w:pStyle w:val="ListBullet"/>
      </w:pPr>
      <w:r>
        <w:rPr>
          <w:b/>
        </w:rPr>
        <w:t>Recetas:</w:t>
      </w:r>
      <w:r>
        <w:t xml:space="preserve"> versiones, recursos, fases, pesos y aprobación.</w:t>
      </w:r>
    </w:p>
    <w:p>
      <w:pPr>
        <w:pStyle w:val="ListBullet"/>
      </w:pPr>
      <w:r>
        <w:rPr>
          <w:b/>
        </w:rPr>
        <w:t>Órdenes:</w:t>
      </w:r>
      <w:r>
        <w:t xml:space="preserve"> liberación, planeación y transiciones operativas.</w:t>
      </w:r>
    </w:p>
    <w:p>
      <w:pPr>
        <w:pStyle w:val="ListBullet"/>
      </w:pPr>
      <w:r>
        <w:rPr>
          <w:b/>
        </w:rPr>
        <w:t>Entregables por área:</w:t>
      </w:r>
      <w:r>
        <w:t xml:space="preserve"> avance y terminación de fases.</w:t>
      </w:r>
    </w:p>
    <w:p>
      <w:pPr>
        <w:pStyle w:val="ListBullet"/>
      </w:pPr>
      <w:r>
        <w:rPr>
          <w:b/>
        </w:rPr>
        <w:t>Maquinaria:</w:t>
      </w:r>
      <w:r>
        <w:t xml:space="preserve"> capacidad, área responsable y estado de mantenimiento.</w:t>
      </w:r>
    </w:p>
    <w:p>
      <w:pPr>
        <w:pStyle w:val="ListBullet"/>
      </w:pPr>
      <w:r>
        <w:rPr>
          <w:b/>
        </w:rPr>
        <w:t>Portada:</w:t>
      </w:r>
      <w:r>
        <w:t xml:space="preserve"> reportes estándar de sólo lectura; las altas viven en los submódulos.</w:t>
      </w:r>
    </w:p>
    <w:p>
      <w:pPr>
        <w:pStyle w:val="Heading1"/>
      </w:pPr>
      <w:r>
        <w:t>Conceptos principales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576"/>
      </w:tblGrid>
      <w:tr>
        <w:trPr>
          <w:cantSplit/>
          <w:tblHeader/>
        </w:trPr>
        <w:tc>
          <w:tcPr>
            <w:tcW w:type="dxa" w:w="2835"/>
            <w:vAlign w:val="center"/>
            <w:tcMar>
              <w:top w:w="85" w:type="dxa"/>
              <w:bottom w:w="85" w:type="dxa"/>
              <w:left w:w="100" w:type="dxa"/>
              <w:right w:w="100" w:type="dxa"/>
            </w:tcMar>
            <w:shd w:fill="243746"/>
          </w:tcPr>
          <w:p>
            <w:pPr>
              <w:spacing w:after="0" w:line="240" w:lineRule="auto"/>
            </w:pPr>
            <w:r>
              <w:rPr>
                <w:b/>
                <w:color w:val="FFFFFF"/>
                <w:sz w:val="19"/>
              </w:rPr>
              <w:t>Concepto</w:t>
            </w:r>
          </w:p>
        </w:tc>
        <w:tc>
          <w:tcPr>
            <w:tcW w:type="dxa" w:w="6576"/>
            <w:vAlign w:val="center"/>
            <w:tcMar>
              <w:top w:w="85" w:type="dxa"/>
              <w:bottom w:w="85" w:type="dxa"/>
              <w:left w:w="100" w:type="dxa"/>
              <w:right w:w="100" w:type="dxa"/>
            </w:tcMar>
            <w:shd w:fill="243746"/>
          </w:tcPr>
          <w:p>
            <w:pPr>
              <w:spacing w:after="0" w:line="240" w:lineRule="auto"/>
            </w:pPr>
            <w:r>
              <w:rPr>
                <w:b/>
                <w:color w:val="FFFFFF"/>
                <w:sz w:val="19"/>
              </w:rPr>
              <w:t>Significado</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Producto/servicio</w:t>
            </w:r>
          </w:p>
        </w:tc>
        <w:tc>
          <w:tcPr>
            <w:tcW w:type="dxa" w:w="6576"/>
            <w:vAlign w:val="center"/>
            <w:tcMar>
              <w:top w:w="85" w:type="dxa"/>
              <w:bottom w:w="85" w:type="dxa"/>
              <w:left w:w="100" w:type="dxa"/>
              <w:right w:w="100" w:type="dxa"/>
            </w:tcMar>
            <w:shd w:fill="FFFFFF"/>
          </w:tcPr>
          <w:p>
            <w:pPr>
              <w:spacing w:after="0" w:line="240" w:lineRule="auto"/>
            </w:pPr>
            <w:r>
              <w:rPr>
                <w:sz w:val="19"/>
              </w:rPr>
              <w:t>Resultado que Producción puede fabricar o ejecutar.</w:t>
            </w:r>
          </w:p>
        </w:tc>
      </w:tr>
      <w:tr>
        <w:trPr>
          <w:cantSplit/>
        </w:trPr>
        <w:tc>
          <w:tcPr>
            <w:tcW w:type="dxa" w:w="2835"/>
            <w:vAlign w:val="center"/>
            <w:tcMar>
              <w:top w:w="85" w:type="dxa"/>
              <w:bottom w:w="85" w:type="dxa"/>
              <w:left w:w="100" w:type="dxa"/>
              <w:right w:w="100" w:type="dxa"/>
            </w:tcMar>
            <w:shd w:fill="F2F5F7"/>
          </w:tcPr>
          <w:p>
            <w:pPr>
              <w:spacing w:after="0" w:line="240" w:lineRule="auto"/>
            </w:pPr>
            <w:r>
              <w:rPr>
                <w:sz w:val="19"/>
              </w:rPr>
              <w:t>Receta</w:t>
            </w:r>
          </w:p>
        </w:tc>
        <w:tc>
          <w:tcPr>
            <w:tcW w:type="dxa" w:w="6576"/>
            <w:vAlign w:val="center"/>
            <w:tcMar>
              <w:top w:w="85" w:type="dxa"/>
              <w:bottom w:w="85" w:type="dxa"/>
              <w:left w:w="100" w:type="dxa"/>
              <w:right w:w="100" w:type="dxa"/>
            </w:tcMar>
            <w:shd w:fill="F2F5F7"/>
          </w:tcPr>
          <w:p>
            <w:pPr>
              <w:spacing w:after="0" w:line="240" w:lineRule="auto"/>
            </w:pPr>
            <w:r>
              <w:rPr>
                <w:sz w:val="19"/>
              </w:rPr>
              <w:t>Definición controlada de materiales, mano de obra, maquinaria y fases.</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Versión</w:t>
            </w:r>
          </w:p>
        </w:tc>
        <w:tc>
          <w:tcPr>
            <w:tcW w:type="dxa" w:w="6576"/>
            <w:vAlign w:val="center"/>
            <w:tcMar>
              <w:top w:w="85" w:type="dxa"/>
              <w:bottom w:w="85" w:type="dxa"/>
              <w:left w:w="100" w:type="dxa"/>
              <w:right w:w="100" w:type="dxa"/>
            </w:tcMar>
            <w:shd w:fill="FFFFFF"/>
          </w:tcPr>
          <w:p>
            <w:pPr>
              <w:spacing w:after="0" w:line="240" w:lineRule="auto"/>
            </w:pPr>
            <w:r>
              <w:rPr>
                <w:sz w:val="19"/>
              </w:rPr>
              <w:t>Corte inmutable usado por una orden; cambios posteriores no alteran la historia.</w:t>
            </w:r>
          </w:p>
        </w:tc>
      </w:tr>
      <w:tr>
        <w:trPr>
          <w:cantSplit/>
        </w:trPr>
        <w:tc>
          <w:tcPr>
            <w:tcW w:type="dxa" w:w="2835"/>
            <w:vAlign w:val="center"/>
            <w:tcMar>
              <w:top w:w="85" w:type="dxa"/>
              <w:bottom w:w="85" w:type="dxa"/>
              <w:left w:w="100" w:type="dxa"/>
              <w:right w:w="100" w:type="dxa"/>
            </w:tcMar>
            <w:shd w:fill="F2F5F7"/>
          </w:tcPr>
          <w:p>
            <w:pPr>
              <w:spacing w:after="0" w:line="240" w:lineRule="auto"/>
            </w:pPr>
            <w:r>
              <w:rPr>
                <w:sz w:val="19"/>
              </w:rPr>
              <w:t>Peso de fase</w:t>
            </w:r>
          </w:p>
        </w:tc>
        <w:tc>
          <w:tcPr>
            <w:tcW w:type="dxa" w:w="6576"/>
            <w:vAlign w:val="center"/>
            <w:tcMar>
              <w:top w:w="85" w:type="dxa"/>
              <w:bottom w:w="85" w:type="dxa"/>
              <w:left w:w="100" w:type="dxa"/>
              <w:right w:w="100" w:type="dxa"/>
            </w:tcMar>
            <w:shd w:fill="F2F5F7"/>
          </w:tcPr>
          <w:p>
            <w:pPr>
              <w:spacing w:after="0" w:line="240" w:lineRule="auto"/>
            </w:pPr>
            <w:r>
              <w:rPr>
                <w:sz w:val="19"/>
              </w:rPr>
              <w:t>Contribución de una fase al avance total; las fases activas suman 100%.</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Orden liberada</w:t>
            </w:r>
          </w:p>
        </w:tc>
        <w:tc>
          <w:tcPr>
            <w:tcW w:type="dxa" w:w="6576"/>
            <w:vAlign w:val="center"/>
            <w:tcMar>
              <w:top w:w="85" w:type="dxa"/>
              <w:bottom w:w="85" w:type="dxa"/>
              <w:left w:w="100" w:type="dxa"/>
              <w:right w:w="100" w:type="dxa"/>
            </w:tcMar>
            <w:shd w:fill="FFFFFF"/>
          </w:tcPr>
          <w:p>
            <w:pPr>
              <w:spacing w:after="0" w:line="240" w:lineRule="auto"/>
            </w:pPr>
            <w:r>
              <w:rPr>
                <w:sz w:val="19"/>
              </w:rPr>
              <w:t>Orden creada después de validar y reservar materiales y capacidad.</w:t>
            </w:r>
          </w:p>
        </w:tc>
      </w:tr>
      <w:tr>
        <w:trPr>
          <w:cantSplit/>
        </w:trPr>
        <w:tc>
          <w:tcPr>
            <w:tcW w:type="dxa" w:w="2835"/>
            <w:vAlign w:val="center"/>
            <w:tcMar>
              <w:top w:w="85" w:type="dxa"/>
              <w:bottom w:w="85" w:type="dxa"/>
              <w:left w:w="100" w:type="dxa"/>
              <w:right w:w="100" w:type="dxa"/>
            </w:tcMar>
            <w:shd w:fill="F2F5F7"/>
          </w:tcPr>
          <w:p>
            <w:pPr>
              <w:spacing w:after="0" w:line="240" w:lineRule="auto"/>
            </w:pPr>
            <w:r>
              <w:rPr>
                <w:sz w:val="19"/>
              </w:rPr>
              <w:t>Días productivos</w:t>
            </w:r>
          </w:p>
        </w:tc>
        <w:tc>
          <w:tcPr>
            <w:tcW w:type="dxa" w:w="6576"/>
            <w:vAlign w:val="center"/>
            <w:tcMar>
              <w:top w:w="85" w:type="dxa"/>
              <w:bottom w:w="85" w:type="dxa"/>
              <w:left w:w="100" w:type="dxa"/>
              <w:right w:w="100" w:type="dxa"/>
            </w:tcMar>
            <w:shd w:fill="F2F5F7"/>
          </w:tcPr>
          <w:p>
            <w:pPr>
              <w:spacing w:after="0" w:line="240" w:lineRule="auto"/>
            </w:pPr>
            <w:r>
              <w:rPr>
                <w:sz w:val="19"/>
              </w:rPr>
              <w:t>Horizonte usado para distribuir capacidad de lunes a viernes en el corte actual.</w:t>
            </w:r>
          </w:p>
        </w:tc>
      </w:tr>
    </w:tbl>
    <w:p>
      <w:pPr>
        <w:spacing w:after="0"/>
      </w:pPr>
    </w:p>
    <w:p>
      <w:pPr>
        <w:pStyle w:val="Heading1"/>
      </w:pPr>
      <w:r>
        <w:t>Acceso y preparación</w:t>
      </w:r>
    </w:p>
    <w:p>
      <w:r>
        <w:t xml:space="preserve">Los permisos son granulares. Crear o editar una receta no concede aprobarla; iniciar una orden no concede terminarla; actualizar avance no concede declarar una etapa terminada. Entre los permisos relevantes están </w:t>
      </w:r>
      <w:r>
        <w:rPr>
          <w:rFonts w:ascii="Consolas" w:hAnsi="Consolas"/>
          <w:sz w:val="18"/>
        </w:rPr>
        <w:t>production.recipe.*</w:t>
      </w:r>
      <w:r>
        <w:t xml:space="preserve">, </w:t>
      </w:r>
      <w:r>
        <w:rPr>
          <w:rFonts w:ascii="Consolas" w:hAnsi="Consolas"/>
          <w:sz w:val="18"/>
        </w:rPr>
        <w:t>production.order.*</w:t>
      </w:r>
      <w:r>
        <w:t xml:space="preserve">, </w:t>
      </w:r>
      <w:r>
        <w:rPr>
          <w:rFonts w:ascii="Consolas" w:hAnsi="Consolas"/>
          <w:sz w:val="18"/>
        </w:rPr>
        <w:t>production.order_stage.*</w:t>
      </w:r>
      <w:r>
        <w:t xml:space="preserve"> y </w:t>
      </w:r>
      <w:r>
        <w:rPr>
          <w:rFonts w:ascii="Consolas" w:hAnsi="Consolas"/>
          <w:sz w:val="18"/>
        </w:rPr>
        <w:t>production.machine.*</w:t>
      </w:r>
      <w:r>
        <w:t>.</w:t>
      </w:r>
    </w:p>
    <w:p>
      <w:r>
        <w:t>Antes de liberar una orden deben existir:</w:t>
      </w:r>
    </w:p>
    <w:p>
      <w:pPr>
        <w:pStyle w:val="ListBullet"/>
      </w:pPr>
      <w:r>
        <w:t>producto activo y versión de receta aprobada;</w:t>
      </w:r>
    </w:p>
    <w:p>
      <w:pPr>
        <w:pStyle w:val="ListBullet"/>
      </w:pPr>
      <w:r>
        <w:t>materiales elegibles de Almacenes con unidad activa;</w:t>
      </w:r>
    </w:p>
    <w:p>
      <w:pPr>
        <w:pStyle w:val="ListBullet"/>
      </w:pPr>
      <w:r>
        <w:t>puestos, áreas y trabajadores productivos vigentes en RH;</w:t>
      </w:r>
    </w:p>
    <w:p>
      <w:pPr>
        <w:pStyle w:val="ListBullet"/>
      </w:pPr>
      <w:r>
        <w:t>maquinaria activa o disponible para el horizonte;</w:t>
      </w:r>
    </w:p>
    <w:p>
      <w:pPr>
        <w:pStyle w:val="ListBullet"/>
      </w:pPr>
      <w:r>
        <w:t>permisos y entitlements vigentes para el tenant.</w:t>
      </w:r>
    </w:p>
    <w:p>
      <w:r>
        <w:t>La alta actual de una orden valida, reserva y nace liberada en una sola operación. No existe todavía un borrador separado de la liberación.</w:t>
      </w:r>
    </w:p>
    <w:p>
      <w:pPr>
        <w:pStyle w:val="Heading1"/>
      </w:pPr>
      <w:r>
        <w:t>Crear y aprobar una receta</w:t>
      </w:r>
    </w:p>
    <w:p>
      <w:pPr>
        <w:ind w:left="283" w:hanging="283"/>
      </w:pPr>
      <w:r>
        <w:t xml:space="preserve">1. Abra </w:t>
      </w:r>
      <w:r>
        <w:rPr>
          <w:b/>
        </w:rPr>
        <w:t>Producción &gt; Recetas</w:t>
      </w:r>
      <w:r>
        <w:t xml:space="preserve"> y seleccione el producto o servicio.</w:t>
      </w:r>
    </w:p>
    <w:p>
      <w:pPr>
        <w:ind w:left="283" w:hanging="283"/>
      </w:pPr>
      <w:r>
        <w:t>2. Capture o reserve el código según la configuración de Administración.</w:t>
      </w:r>
    </w:p>
    <w:p>
      <w:pPr>
        <w:ind w:left="283" w:hanging="283"/>
      </w:pPr>
      <w:r>
        <w:t>3. Defina cantidad base, unidad, centro de costos y vigencia.</w:t>
      </w:r>
    </w:p>
    <w:p>
      <w:pPr>
        <w:ind w:left="283" w:hanging="283"/>
      </w:pPr>
      <w:r>
        <w:t>4. Agregue materiales, puestos y maquinaria mediante los buscadores de catálogo.</w:t>
      </w:r>
    </w:p>
    <w:p>
      <w:pPr>
        <w:ind w:left="283" w:hanging="283"/>
      </w:pPr>
      <w:r>
        <w:t>5. Defina las fases, áreas responsables y su secuencia.</w:t>
      </w:r>
    </w:p>
    <w:p>
      <w:pPr>
        <w:ind w:left="283" w:hanging="283"/>
      </w:pPr>
      <w:r>
        <w:t>6. Asigne pesos y confirme que las fases activas sumen 100%.</w:t>
      </w:r>
    </w:p>
    <w:p>
      <w:pPr>
        <w:ind w:left="283" w:hanging="283"/>
      </w:pPr>
      <w:r>
        <w:t xml:space="preserve">7. Use </w:t>
      </w:r>
      <w:r>
        <w:rPr>
          <w:b/>
        </w:rPr>
        <w:t>Validar definición</w:t>
      </w:r>
      <w:r>
        <w:t>, envíe la versión y apruébela con el permiso correspondiente.</w:t>
      </w:r>
    </w:p>
    <w:p>
      <w:r>
        <w:rPr>
          <w:b/>
        </w:rPr>
        <w:t>Validar definición</w:t>
      </w:r>
      <w:r>
        <w:t xml:space="preserve"> comprueba identidad, unidad y elegibilidad. La disponibilidad real se evalúa al liberar una orden, porque depende de cantidad, fecha y horizonte. Una receta puede ser válida aunque hoy no exista inventario o capacidad suficiente.</w:t>
      </w:r>
    </w:p>
    <w:p>
      <w:pPr>
        <w:pStyle w:val="Heading1"/>
      </w:pPr>
      <w:r>
        <w:t>Liberar y ejecutar una orden</w:t>
      </w:r>
    </w:p>
    <w:p>
      <w:pPr>
        <w:ind w:left="283" w:hanging="283"/>
      </w:pPr>
      <w:r>
        <w:t>1. Seleccione una receta aprobada, cantidad, inicio planeado, días productivos, fecha requerida, prioridad y responsables.</w:t>
      </w:r>
    </w:p>
    <w:p>
      <w:pPr>
        <w:ind w:left="283" w:hanging="283"/>
      </w:pPr>
      <w:r>
        <w:t>2. Revise el horizonte y el desglose diario de material, mano de obra y maquinaria.</w:t>
      </w:r>
    </w:p>
    <w:p>
      <w:pPr>
        <w:ind w:left="283" w:hanging="283"/>
      </w:pPr>
      <w:r>
        <w:t>3. Confirme la liberación. Inventario reserva material y Producción compromete capacidad.</w:t>
      </w:r>
    </w:p>
    <w:p>
      <w:pPr>
        <w:ind w:left="283" w:hanging="283"/>
      </w:pPr>
      <w:r>
        <w:t xml:space="preserve">4. Pida a Almacén abrir </w:t>
      </w:r>
      <w:r>
        <w:rPr>
          <w:b/>
        </w:rPr>
        <w:t>Almacenes &gt; Movimientos &gt; Ver solicitudes &gt; Solicitudes de materiales para producción</w:t>
      </w:r>
      <w:r>
        <w:t xml:space="preserve">. El almacenista revisa la orden y confirma </w:t>
      </w:r>
      <w:r>
        <w:rPr>
          <w:b/>
        </w:rPr>
        <w:t>Autorizar y entregar</w:t>
      </w:r>
      <w:r>
        <w:t xml:space="preserve"> cuando entrega todos los materiales reservados desde los almacenes indicados.</w:t>
      </w:r>
    </w:p>
    <w:p>
      <w:pPr>
        <w:ind w:left="283" w:hanging="283"/>
      </w:pPr>
      <w:r>
        <w:t xml:space="preserve">5. Vuelva a </w:t>
      </w:r>
      <w:r>
        <w:rPr>
          <w:b/>
        </w:rPr>
        <w:t>Producción &gt; Órdenes</w:t>
      </w:r>
      <w:r>
        <w:t xml:space="preserve">. Si la receta corresponde a un servicio, registre la evidencia inicial antes de pasar a espera de recursos o iniciar (mejora Local pendiente de QA). Inicie la orden. </w:t>
      </w:r>
      <w:r>
        <w:rPr>
          <w:b/>
        </w:rPr>
        <w:t>En producción</w:t>
      </w:r>
      <w:r>
        <w:t xml:space="preserve"> exige la salida completa previamente confirmada y vuelve a validar responsables elegibles y maquinaria disponible. Cambiar el estatus no descuenta inventario.</w:t>
      </w:r>
    </w:p>
    <w:p>
      <w:pPr>
        <w:ind w:left="283" w:hanging="283"/>
      </w:pPr>
      <w:r>
        <w:t xml:space="preserve">6. Actualice cada fase desde </w:t>
      </w:r>
      <w:r>
        <w:rPr>
          <w:b/>
        </w:rPr>
        <w:t>Entregables por área</w:t>
      </w:r>
      <w:r>
        <w:t>. El avance general se calcula con sus pesos.</w:t>
      </w:r>
    </w:p>
    <w:p>
      <w:pPr>
        <w:ind w:left="283" w:hanging="283"/>
      </w:pPr>
      <w:r>
        <w:t xml:space="preserve">7. En servicios, capture primero la evidencia final en el formulario de avance que completa el total. Cuando todas las fases lleguen a 100%, envíe o deje pasar la orden a </w:t>
      </w:r>
      <w:r>
        <w:rPr>
          <w:b/>
        </w:rPr>
        <w:t>En validación</w:t>
      </w:r>
      <w:r>
        <w:t>.</w:t>
      </w:r>
    </w:p>
    <w:p>
      <w:pPr>
        <w:ind w:left="283" w:hanging="283"/>
      </w:pPr>
      <w:r>
        <w:t>8. Termine la orden. El cierre consolida costos y no vuelve a descontar materiales.</w:t>
      </w:r>
    </w:p>
    <w:p>
      <w:r>
        <w:t>Una pausa, reanudación o regreso desde validación no crea otra salida. Cancelar antes de la entrega libera reservas; cancelar después conserva las salidas físicas, aunque la orden todavía no haya iniciado. Si una entrega quedó incompleta, Almacén debe conciliarla antes de continuar. La regla aplica a productos y servicios ejecutados con receta en Producción; las órdenes comerciales de servicio de Ventas tienen su propio flujo.</w:t>
      </w:r>
    </w:p>
    <w:p>
      <w:r>
        <w:t xml:space="preserve">Si una creación fallida dejó reservas, use </w:t>
      </w:r>
      <w:r>
        <w:rPr>
          <w:b/>
        </w:rPr>
        <w:t>Creaciones de orden pendientes de recuperar &gt; Recuperar reservas</w:t>
      </w:r>
      <w:r>
        <w:t xml:space="preserve"> antes de crear nuevamente. La recuperación corresponde al usuario que hizo el intento; no cree otra orden para ocultar ese pendiente.</w:t>
      </w:r>
    </w:p>
    <w:p>
      <w:pPr>
        <w:pStyle w:val="Heading1"/>
      </w:pPr>
      <w:r>
        <w:t>Margen esperado de productos y servicios</w:t>
      </w:r>
    </w:p>
    <w:p>
      <w:r>
        <w:rPr>
          <w:b/>
        </w:rPr>
        <w:t>Disponible en Local; pendiente de promoción a QA.</w:t>
      </w:r>
      <w:r>
        <w:t xml:space="preserve"> En </w:t>
      </w:r>
      <w:r>
        <w:rPr>
          <w:b/>
        </w:rPr>
        <w:t>Productos y servicios</w:t>
      </w:r>
      <w:r>
        <w:t xml:space="preserve">, el campo </w:t>
      </w:r>
      <w:r>
        <w:rPr>
          <w:b/>
        </w:rPr>
        <w:t>Margen esperado %</w:t>
      </w:r>
      <w:r>
        <w:t xml:space="preserve"> expresa utilidad esperada sobre el costo. Permite 0%, 100%, 400% y valores mayores, siempre finitos y no negativos. El porcentaje guardado se conserva al consultar o editar el catálogo.</w:t>
      </w:r>
    </w:p>
    <w:p>
      <w:r>
        <w:t>Un costo de $900 con un precio de $200,000 representa aproximadamente 22,122.22% de utilidad sobre costo: (precio menos costo) dividido entre costo, por 100. Un 400% equivale a vender en cinco veces el costo. Es una referencia de planeación; capturar el porcentaje no cambia automáticamente un precio ni comprueba la utilidad real. Los pesos de fases sí deben seguir sumando 100%.</w:t>
      </w:r>
    </w:p>
    <w:p>
      <w:pPr>
        <w:pStyle w:val="Heading1"/>
      </w:pPr>
      <w:r>
        <w:t>Evidencia de recepción y cierre de servicios</w:t>
      </w:r>
    </w:p>
    <w:p>
      <w:r>
        <w:rPr>
          <w:b/>
        </w:rPr>
        <w:t>Disponible en Local; pendiente de promoción a QA.</w:t>
      </w:r>
      <w:r>
        <w:t xml:space="preserve"> Aplica únicamente a órdenes de Producción cuya receta corresponde a un servicio. Las órdenes de producto mantienen su recorrido. Las órdenes comerciales de servicio de Ventas son un flujo distinto.</w:t>
      </w:r>
    </w:p>
    <w:p>
      <w:pPr>
        <w:pStyle w:val="Heading2"/>
      </w:pPr>
      <w:r>
        <w:t>Registrar cómo se recibe o inicia</w:t>
      </w:r>
    </w:p>
    <w:p>
      <w:pPr>
        <w:ind w:left="283" w:hanging="283"/>
      </w:pPr>
      <w:r>
        <w:t xml:space="preserve">1. Abra la orden de servicio liberada e intente pasarla a </w:t>
      </w:r>
      <w:r>
        <w:rPr>
          <w:b/>
        </w:rPr>
        <w:t>En espera de recursos</w:t>
      </w:r>
      <w:r>
        <w:t xml:space="preserve"> o </w:t>
      </w:r>
      <w:r>
        <w:rPr>
          <w:b/>
        </w:rPr>
        <w:t>En producción</w:t>
      </w:r>
      <w:r>
        <w:t>.</w:t>
      </w:r>
    </w:p>
    <w:p>
      <w:pPr>
        <w:ind w:left="283" w:hanging="283"/>
      </w:pPr>
      <w:r>
        <w:t>2. En el formulario de evidencia inicial, describa cómo se recibió el equipo o cómo comienza el trabajo: condiciones, alcance y observaciones relevantes. El texto obligatorio admite entre 3 y 4,000 caracteres sin contar espacios exteriores.</w:t>
      </w:r>
    </w:p>
    <w:p>
      <w:pPr>
        <w:ind w:left="283" w:hanging="283"/>
      </w:pPr>
      <w:r>
        <w:t>3. Opcionalmente seleccione hasta tres fotos o archivos que documenten esas condiciones.</w:t>
      </w:r>
    </w:p>
    <w:p>
      <w:pPr>
        <w:ind w:left="283" w:hanging="283"/>
      </w:pPr>
      <w:r>
        <w:t>4. Guarde y continúe. La evidencia se registra primero; la transición todavía debe cumplir los requisitos de materiales, responsables y permisos.</w:t>
      </w:r>
    </w:p>
    <w:p>
      <w:r>
        <w:t>Si la transición falla después de guardar la evidencia, corrija el requisito pendiente y reintente. No capture otra recepción: la evidencia registrada se conserva y no puede sobrescribirse. Si una orden activa anterior a la mejora aún no tiene recepción, el formulario de avance solicita completarla.</w:t>
      </w:r>
    </w:p>
    <w:p>
      <w:pPr>
        <w:pStyle w:val="Heading2"/>
      </w:pPr>
      <w:r>
        <w:t>Registrar cómo termina al completar el avance</w:t>
      </w:r>
    </w:p>
    <w:p>
      <w:pPr>
        <w:ind w:left="283" w:hanging="283"/>
      </w:pPr>
      <w:r>
        <w:t>1. Abra el formulario donde captura el porcentaje de avance de una etapa.</w:t>
      </w:r>
    </w:p>
    <w:p>
      <w:pPr>
        <w:ind w:left="283" w:hanging="283"/>
      </w:pPr>
      <w:r>
        <w:t>2. Al llevar la última etapa pendiente a 100% y completar el avance total de la orden, se despliega la sección de evidencia final en ese mismo formulario.</w:t>
      </w:r>
    </w:p>
    <w:p>
      <w:pPr>
        <w:ind w:left="283" w:hanging="283"/>
      </w:pPr>
      <w:r>
        <w:t>3. Describa el resultado, trabajo realizado y condiciones de entrega; agregue opcionalmente hasta tres adjuntos.</w:t>
      </w:r>
    </w:p>
    <w:p>
      <w:pPr>
        <w:ind w:left="283" w:hanging="283"/>
      </w:pPr>
      <w:r>
        <w:t>4. Guarde. Sin evidencia inicial y final, el sistema impide completar el avance total, enviar a validación o terminar el servicio.</w:t>
      </w:r>
    </w:p>
    <w:p>
      <w:r>
        <w:t>Completar una etapa intermedia no exige evidencia final si quedan otras etapas pendientes. La evidencia de cierre no sustituye la revisión ni los permisos para terminar la orden. Los registros aceptados se conservan sin edición; no cierre el diálogo ni recargue durante la carga.</w:t>
      </w:r>
    </w:p>
    <w:p>
      <w:pPr>
        <w:pStyle w:val="Heading2"/>
      </w:pPr>
      <w:r>
        <w:t>Fotos, archivos y conservación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576"/>
      </w:tblGrid>
      <w:tr>
        <w:trPr>
          <w:cantSplit/>
          <w:tblHeader/>
        </w:trPr>
        <w:tc>
          <w:tcPr>
            <w:tcW w:type="dxa" w:w="2835"/>
            <w:vAlign w:val="center"/>
            <w:tcMar>
              <w:top w:w="85" w:type="dxa"/>
              <w:bottom w:w="85" w:type="dxa"/>
              <w:left w:w="100" w:type="dxa"/>
              <w:right w:w="100" w:type="dxa"/>
            </w:tcMar>
            <w:shd w:fill="243746"/>
          </w:tcPr>
          <w:p>
            <w:pPr>
              <w:spacing w:after="0" w:line="240" w:lineRule="auto"/>
            </w:pPr>
            <w:r>
              <w:rPr>
                <w:b/>
                <w:color w:val="FFFFFF"/>
                <w:sz w:val="19"/>
              </w:rPr>
              <w:t>Tipo</w:t>
            </w:r>
          </w:p>
        </w:tc>
        <w:tc>
          <w:tcPr>
            <w:tcW w:type="dxa" w:w="6576"/>
            <w:vAlign w:val="center"/>
            <w:tcMar>
              <w:top w:w="85" w:type="dxa"/>
              <w:bottom w:w="85" w:type="dxa"/>
              <w:left w:w="100" w:type="dxa"/>
              <w:right w:w="100" w:type="dxa"/>
            </w:tcMar>
            <w:shd w:fill="243746"/>
          </w:tcPr>
          <w:p>
            <w:pPr>
              <w:spacing w:after="0" w:line="240" w:lineRule="auto"/>
            </w:pPr>
            <w:r>
              <w:rPr>
                <w:b/>
                <w:color w:val="FFFFFF"/>
                <w:sz w:val="19"/>
              </w:rPr>
              <w:t>Límite y tratamiento</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Fotos JPEG, PNG, WebP, HEIC, HEIF, BMP o TIFF</w:t>
            </w:r>
          </w:p>
        </w:tc>
        <w:tc>
          <w:tcPr>
            <w:tcW w:type="dxa" w:w="6576"/>
            <w:vAlign w:val="center"/>
            <w:tcMar>
              <w:top w:w="85" w:type="dxa"/>
              <w:bottom w:w="85" w:type="dxa"/>
              <w:left w:w="100" w:type="dxa"/>
              <w:right w:w="100" w:type="dxa"/>
            </w:tcMar>
            <w:shd w:fill="FFFFFF"/>
          </w:tcPr>
          <w:p>
            <w:pPr>
              <w:spacing w:after="0" w:line="240" w:lineRule="auto"/>
            </w:pPr>
            <w:r>
              <w:rPr>
                <w:sz w:val="19"/>
              </w:rPr>
              <w:t>Hasta 5 MiB y 20 megapíxeles por imagen original; una sola imagen estática. Se optimizan automáticamente a WebP de hasta 300 KiB, con lado máximo de 1,600 píxeles y sin metadatos de ubicación.</w:t>
            </w:r>
          </w:p>
        </w:tc>
      </w:tr>
      <w:tr>
        <w:trPr>
          <w:cantSplit/>
        </w:trPr>
        <w:tc>
          <w:tcPr>
            <w:tcW w:type="dxa" w:w="2835"/>
            <w:vAlign w:val="center"/>
            <w:tcMar>
              <w:top w:w="85" w:type="dxa"/>
              <w:bottom w:w="85" w:type="dxa"/>
              <w:left w:w="100" w:type="dxa"/>
              <w:right w:w="100" w:type="dxa"/>
            </w:tcMar>
            <w:shd w:fill="F2F5F7"/>
          </w:tcPr>
          <w:p>
            <w:pPr>
              <w:spacing w:after="0" w:line="240" w:lineRule="auto"/>
            </w:pPr>
            <w:r>
              <w:rPr>
                <w:sz w:val="19"/>
              </w:rPr>
              <w:t>Documentos PDF, TXT, DOCX o XLSX</w:t>
            </w:r>
          </w:p>
        </w:tc>
        <w:tc>
          <w:tcPr>
            <w:tcW w:type="dxa" w:w="6576"/>
            <w:vAlign w:val="center"/>
            <w:tcMar>
              <w:top w:w="85" w:type="dxa"/>
              <w:bottom w:w="85" w:type="dxa"/>
              <w:left w:w="100" w:type="dxa"/>
              <w:right w:w="100" w:type="dxa"/>
            </w:tcMar>
            <w:shd w:fill="F2F5F7"/>
          </w:tcPr>
          <w:p>
            <w:pPr>
              <w:spacing w:after="0" w:line="240" w:lineRule="auto"/>
            </w:pPr>
            <w:r>
              <w:rPr>
                <w:sz w:val="19"/>
              </w:rPr>
              <w:t>Hasta 2 MiB por archivo. No se admiten ejecutables, documentos con macros ni formatos distintos de los indicados.</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Cantidad</w:t>
            </w:r>
          </w:p>
        </w:tc>
        <w:tc>
          <w:tcPr>
            <w:tcW w:type="dxa" w:w="6576"/>
            <w:vAlign w:val="center"/>
            <w:tcMar>
              <w:top w:w="85" w:type="dxa"/>
              <w:bottom w:w="85" w:type="dxa"/>
              <w:left w:w="100" w:type="dxa"/>
              <w:right w:w="100" w:type="dxa"/>
            </w:tcMar>
            <w:shd w:fill="FFFFFF"/>
          </w:tcPr>
          <w:p>
            <w:pPr>
              <w:spacing w:after="0" w:line="240" w:lineRule="auto"/>
            </w:pPr>
            <w:r>
              <w:rPr>
                <w:sz w:val="19"/>
              </w:rPr>
              <w:t>Hasta tres adjuntos opcionales en recepción y tres en cierre. El texto es obligatorio aunque no adjunte archivos.</w:t>
            </w:r>
          </w:p>
        </w:tc>
      </w:tr>
      <w:tr>
        <w:trPr>
          <w:cantSplit/>
        </w:trPr>
        <w:tc>
          <w:tcPr>
            <w:tcW w:type="dxa" w:w="2835"/>
            <w:vAlign w:val="center"/>
            <w:tcMar>
              <w:top w:w="85" w:type="dxa"/>
              <w:bottom w:w="85" w:type="dxa"/>
              <w:left w:w="100" w:type="dxa"/>
              <w:right w:w="100" w:type="dxa"/>
            </w:tcMar>
            <w:shd w:fill="F2F5F7"/>
          </w:tcPr>
          <w:p>
            <w:pPr>
              <w:spacing w:after="0" w:line="240" w:lineRule="auto"/>
            </w:pPr>
            <w:r>
              <w:rPr>
                <w:sz w:val="19"/>
              </w:rPr>
              <w:t>Conservación</w:t>
            </w:r>
          </w:p>
        </w:tc>
        <w:tc>
          <w:tcPr>
            <w:tcW w:type="dxa" w:w="6576"/>
            <w:vAlign w:val="center"/>
            <w:tcMar>
              <w:top w:w="85" w:type="dxa"/>
              <w:bottom w:w="85" w:type="dxa"/>
              <w:left w:w="100" w:type="dxa"/>
              <w:right w:w="100" w:type="dxa"/>
            </w:tcMar>
            <w:shd w:fill="F2F5F7"/>
          </w:tcPr>
          <w:p>
            <w:pPr>
              <w:spacing w:after="0" w:line="240" w:lineRule="auto"/>
            </w:pPr>
            <w:r>
              <w:rPr>
                <w:sz w:val="19"/>
              </w:rPr>
              <w:t>Todos los adjuntos, incluidas fotos y documentos, vencen a los 365 días desde su carga. La orden, las descripciones y los datos históricos de los adjuntos permanecen.</w:t>
            </w:r>
          </w:p>
        </w:tc>
      </w:tr>
    </w:tbl>
    <w:p>
      <w:pPr>
        <w:spacing w:after="0"/>
      </w:pPr>
    </w:p>
    <w:p>
      <w:r>
        <w:t xml:space="preserve">El sistema rechaza una imagen que supera los límites de entrada: reduzca su tamaño y vuelva a seleccionarla. Nunca almacena la foto original; guarde una copia por su cuenta si necesita calidad original. En </w:t>
      </w:r>
      <w:r>
        <w:rPr>
          <w:b/>
        </w:rPr>
        <w:t>Evidencia del servicio</w:t>
      </w:r>
      <w:r>
        <w:t xml:space="preserve"> puede consultar ambas descripciones, los adjuntos y su vencimiento. Después de vencer, los archivos dejan de descargarse y se eliminan; el texto sigue disponible. La eliminación física del proveedor puede completarse después del vencimiento, pero la descarga se bloquea desde esa fecha.</w:t>
      </w:r>
    </w:p>
    <w:p>
      <w:r>
        <w:t>Si un archivo es inválido, el mensaje indica la selección que debe revisar. Si falla el almacenamiento, conserve el formulario y reintente cuando soporte resuelva el problema. No dé por guardado un adjunto hasta recibir confirmación.</w:t>
      </w:r>
    </w:p>
    <w:p>
      <w:pPr>
        <w:pStyle w:val="Heading1"/>
      </w:pPr>
      <w:r>
        <w:t>Estados de la orden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576"/>
      </w:tblGrid>
      <w:tr>
        <w:trPr>
          <w:cantSplit/>
          <w:tblHeader/>
        </w:trPr>
        <w:tc>
          <w:tcPr>
            <w:tcW w:type="dxa" w:w="2835"/>
            <w:vAlign w:val="center"/>
            <w:tcMar>
              <w:top w:w="85" w:type="dxa"/>
              <w:bottom w:w="85" w:type="dxa"/>
              <w:left w:w="100" w:type="dxa"/>
              <w:right w:w="100" w:type="dxa"/>
            </w:tcMar>
            <w:shd w:fill="243746"/>
          </w:tcPr>
          <w:p>
            <w:pPr>
              <w:spacing w:after="0" w:line="240" w:lineRule="auto"/>
            </w:pPr>
            <w:r>
              <w:rPr>
                <w:b/>
                <w:color w:val="FFFFFF"/>
                <w:sz w:val="19"/>
              </w:rPr>
              <w:t>Estado</w:t>
            </w:r>
          </w:p>
        </w:tc>
        <w:tc>
          <w:tcPr>
            <w:tcW w:type="dxa" w:w="6576"/>
            <w:vAlign w:val="center"/>
            <w:tcMar>
              <w:top w:w="85" w:type="dxa"/>
              <w:bottom w:w="85" w:type="dxa"/>
              <w:left w:w="100" w:type="dxa"/>
              <w:right w:w="100" w:type="dxa"/>
            </w:tcMar>
            <w:shd w:fill="243746"/>
          </w:tcPr>
          <w:p>
            <w:pPr>
              <w:spacing w:after="0" w:line="240" w:lineRule="auto"/>
            </w:pPr>
            <w:r>
              <w:rPr>
                <w:b/>
                <w:color w:val="FFFFFF"/>
                <w:sz w:val="19"/>
              </w:rPr>
              <w:t>Significado y acciones</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Liberada</w:t>
            </w:r>
          </w:p>
        </w:tc>
        <w:tc>
          <w:tcPr>
            <w:tcW w:type="dxa" w:w="6576"/>
            <w:vAlign w:val="center"/>
            <w:tcMar>
              <w:top w:w="85" w:type="dxa"/>
              <w:bottom w:w="85" w:type="dxa"/>
              <w:left w:w="100" w:type="dxa"/>
              <w:right w:w="100" w:type="dxa"/>
            </w:tcMar>
            <w:shd w:fill="FFFFFF"/>
          </w:tcPr>
          <w:p>
            <w:pPr>
              <w:spacing w:after="0" w:line="240" w:lineRule="auto"/>
            </w:pPr>
            <w:r>
              <w:rPr>
                <w:sz w:val="19"/>
              </w:rPr>
              <w:t>Recursos apartados; Almacén entrega materiales antes de iniciar. Puede esperar recursos o cancelarse conforme al estado de entrega.</w:t>
            </w:r>
          </w:p>
        </w:tc>
      </w:tr>
      <w:tr>
        <w:trPr>
          <w:cantSplit/>
        </w:trPr>
        <w:tc>
          <w:tcPr>
            <w:tcW w:type="dxa" w:w="2835"/>
            <w:vAlign w:val="center"/>
            <w:tcMar>
              <w:top w:w="85" w:type="dxa"/>
              <w:bottom w:w="85" w:type="dxa"/>
              <w:left w:w="100" w:type="dxa"/>
              <w:right w:w="100" w:type="dxa"/>
            </w:tcMar>
            <w:shd w:fill="F2F5F7"/>
          </w:tcPr>
          <w:p>
            <w:pPr>
              <w:spacing w:after="0" w:line="240" w:lineRule="auto"/>
            </w:pPr>
            <w:r>
              <w:rPr>
                <w:sz w:val="19"/>
              </w:rPr>
              <w:t>En espera de recursos</w:t>
            </w:r>
          </w:p>
        </w:tc>
        <w:tc>
          <w:tcPr>
            <w:tcW w:type="dxa" w:w="6576"/>
            <w:vAlign w:val="center"/>
            <w:tcMar>
              <w:top w:w="85" w:type="dxa"/>
              <w:bottom w:w="85" w:type="dxa"/>
              <w:left w:w="100" w:type="dxa"/>
              <w:right w:w="100" w:type="dxa"/>
            </w:tcMar>
            <w:shd w:fill="F2F5F7"/>
          </w:tcPr>
          <w:p>
            <w:pPr>
              <w:spacing w:after="0" w:line="240" w:lineRule="auto"/>
            </w:pPr>
            <w:r>
              <w:rPr>
                <w:sz w:val="19"/>
              </w:rPr>
              <w:t>Existe una restricción o conciliación pendiente.</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En producción</w:t>
            </w:r>
          </w:p>
        </w:tc>
        <w:tc>
          <w:tcPr>
            <w:tcW w:type="dxa" w:w="6576"/>
            <w:vAlign w:val="center"/>
            <w:tcMar>
              <w:top w:w="85" w:type="dxa"/>
              <w:bottom w:w="85" w:type="dxa"/>
              <w:left w:w="100" w:type="dxa"/>
              <w:right w:w="100" w:type="dxa"/>
            </w:tcMar>
            <w:shd w:fill="FFFFFF"/>
          </w:tcPr>
          <w:p>
            <w:pPr>
              <w:spacing w:after="0" w:line="240" w:lineRule="auto"/>
            </w:pPr>
            <w:r>
              <w:rPr>
                <w:sz w:val="19"/>
              </w:rPr>
              <w:t>Trabajo activo; Almacén ya confirmó la salida completa de los materiales.</w:t>
            </w:r>
          </w:p>
        </w:tc>
      </w:tr>
      <w:tr>
        <w:trPr>
          <w:cantSplit/>
        </w:trPr>
        <w:tc>
          <w:tcPr>
            <w:tcW w:type="dxa" w:w="2835"/>
            <w:vAlign w:val="center"/>
            <w:tcMar>
              <w:top w:w="85" w:type="dxa"/>
              <w:bottom w:w="85" w:type="dxa"/>
              <w:left w:w="100" w:type="dxa"/>
              <w:right w:w="100" w:type="dxa"/>
            </w:tcMar>
            <w:shd w:fill="F2F5F7"/>
          </w:tcPr>
          <w:p>
            <w:pPr>
              <w:spacing w:after="0" w:line="240" w:lineRule="auto"/>
            </w:pPr>
            <w:r>
              <w:rPr>
                <w:sz w:val="19"/>
              </w:rPr>
              <w:t>Pausada</w:t>
            </w:r>
          </w:p>
        </w:tc>
        <w:tc>
          <w:tcPr>
            <w:tcW w:type="dxa" w:w="6576"/>
            <w:vAlign w:val="center"/>
            <w:tcMar>
              <w:top w:w="85" w:type="dxa"/>
              <w:bottom w:w="85" w:type="dxa"/>
              <w:left w:w="100" w:type="dxa"/>
              <w:right w:w="100" w:type="dxa"/>
            </w:tcMar>
            <w:shd w:fill="F2F5F7"/>
          </w:tcPr>
          <w:p>
            <w:pPr>
              <w:spacing w:after="0" w:line="240" w:lineRule="auto"/>
            </w:pPr>
            <w:r>
              <w:rPr>
                <w:sz w:val="19"/>
              </w:rPr>
              <w:t>Detención temporal con causa; puede reanudarse cuando la restricción desaparece.</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En validación</w:t>
            </w:r>
          </w:p>
        </w:tc>
        <w:tc>
          <w:tcPr>
            <w:tcW w:type="dxa" w:w="6576"/>
            <w:vAlign w:val="center"/>
            <w:tcMar>
              <w:top w:w="85" w:type="dxa"/>
              <w:bottom w:w="85" w:type="dxa"/>
              <w:left w:w="100" w:type="dxa"/>
              <w:right w:w="100" w:type="dxa"/>
            </w:tcMar>
            <w:shd w:fill="FFFFFF"/>
          </w:tcPr>
          <w:p>
            <w:pPr>
              <w:spacing w:after="0" w:line="240" w:lineRule="auto"/>
            </w:pPr>
            <w:r>
              <w:rPr>
                <w:sz w:val="19"/>
              </w:rPr>
              <w:t>Las fases terminaron y el resultado espera revisión.</w:t>
            </w:r>
          </w:p>
        </w:tc>
      </w:tr>
      <w:tr>
        <w:trPr>
          <w:cantSplit/>
        </w:trPr>
        <w:tc>
          <w:tcPr>
            <w:tcW w:type="dxa" w:w="2835"/>
            <w:vAlign w:val="center"/>
            <w:tcMar>
              <w:top w:w="85" w:type="dxa"/>
              <w:bottom w:w="85" w:type="dxa"/>
              <w:left w:w="100" w:type="dxa"/>
              <w:right w:w="100" w:type="dxa"/>
            </w:tcMar>
            <w:shd w:fill="F2F5F7"/>
          </w:tcPr>
          <w:p>
            <w:pPr>
              <w:spacing w:after="0" w:line="240" w:lineRule="auto"/>
            </w:pPr>
            <w:r>
              <w:rPr>
                <w:sz w:val="19"/>
              </w:rPr>
              <w:t>Terminada</w:t>
            </w:r>
          </w:p>
        </w:tc>
        <w:tc>
          <w:tcPr>
            <w:tcW w:type="dxa" w:w="6576"/>
            <w:vAlign w:val="center"/>
            <w:tcMar>
              <w:top w:w="85" w:type="dxa"/>
              <w:bottom w:w="85" w:type="dxa"/>
              <w:left w:w="100" w:type="dxa"/>
              <w:right w:w="100" w:type="dxa"/>
            </w:tcMar>
            <w:shd w:fill="F2F5F7"/>
          </w:tcPr>
          <w:p>
            <w:pPr>
              <w:spacing w:after="0" w:line="240" w:lineRule="auto"/>
            </w:pPr>
            <w:r>
              <w:rPr>
                <w:sz w:val="19"/>
              </w:rPr>
              <w:t>Cierre operativo; habilita la recepción física en Almacenes.</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Cancelada</w:t>
            </w:r>
          </w:p>
        </w:tc>
        <w:tc>
          <w:tcPr>
            <w:tcW w:type="dxa" w:w="6576"/>
            <w:vAlign w:val="center"/>
            <w:tcMar>
              <w:top w:w="85" w:type="dxa"/>
              <w:bottom w:w="85" w:type="dxa"/>
              <w:left w:w="100" w:type="dxa"/>
              <w:right w:w="100" w:type="dxa"/>
            </w:tcMar>
            <w:shd w:fill="FFFFFF"/>
          </w:tcPr>
          <w:p>
            <w:pPr>
              <w:spacing w:after="0" w:line="240" w:lineRule="auto"/>
            </w:pPr>
            <w:r>
              <w:rPr>
                <w:sz w:val="19"/>
              </w:rPr>
              <w:t>Estado terminal con reservas compensadas cuando corresponda.</w:t>
            </w:r>
          </w:p>
        </w:tc>
      </w:tr>
    </w:tbl>
    <w:p>
      <w:pPr>
        <w:spacing w:after="0"/>
      </w:pPr>
    </w:p>
    <w:p>
      <w:pPr>
        <w:pStyle w:val="Heading1"/>
      </w:pPr>
      <w:r>
        <w:t>Maquinaria y Mantenimiento</w:t>
      </w:r>
    </w:p>
    <w:p>
      <w:r>
        <w:t>Una máquina puede pertenecer a una receta aunque no esté disponible hoy. Si Mantenimiento bloquea una máquina, Producción impide usarla y puede pausar la orden relacionada. No se puede retirar ese bloqueo editando el estatus de la máquina. Resolver Mantenimiento libera la máquina, pero nunca reanuda automáticamente Producción: el operador debe volver a validar y decidir. Inicio y reanudación comprueban también la elegibilidad del responsable general y de los responsables de fases pendientes en RH.</w:t>
      </w:r>
    </w:p>
    <w:p>
      <w:pPr>
        <w:pStyle w:val="Heading1"/>
      </w:pPr>
      <w:r>
        <w:t>Devolver materiales sobrantes</w:t>
      </w:r>
    </w:p>
    <w:p>
      <w:pPr>
        <w:ind w:left="283" w:hanging="283"/>
      </w:pPr>
      <w:r>
        <w:t xml:space="preserve">1. Con la orden </w:t>
      </w:r>
      <w:r>
        <w:rPr>
          <w:b/>
        </w:rPr>
        <w:t>Terminada</w:t>
      </w:r>
      <w:r>
        <w:t xml:space="preserve"> o </w:t>
      </w:r>
      <w:r>
        <w:rPr>
          <w:b/>
        </w:rPr>
        <w:t>Cancelada</w:t>
      </w:r>
      <w:r>
        <w:t xml:space="preserve">, abra </w:t>
      </w:r>
      <w:r>
        <w:rPr>
          <w:b/>
        </w:rPr>
        <w:t>Producción &gt; Órdenes &gt; Devolución de materiales sobrantes</w:t>
      </w:r>
      <w:r>
        <w:t>.</w:t>
      </w:r>
    </w:p>
    <w:p>
      <w:pPr>
        <w:ind w:left="283" w:hanging="283"/>
      </w:pPr>
      <w:r>
        <w:t xml:space="preserve">2. Seleccione el material previamente entregado y pulse </w:t>
      </w:r>
      <w:r>
        <w:rPr>
          <w:b/>
        </w:rPr>
        <w:t>Solicitar devolución</w:t>
      </w:r>
      <w:r>
        <w:t>.</w:t>
      </w:r>
    </w:p>
    <w:p>
      <w:pPr>
        <w:ind w:left="283" w:hanging="283"/>
      </w:pPr>
      <w:r>
        <w:t>3. Capture únicamente el sobrante real y el motivo; no exceda la cantidad entregada pendiente de devolver.</w:t>
      </w:r>
    </w:p>
    <w:p>
      <w:pPr>
        <w:ind w:left="283" w:hanging="283"/>
      </w:pPr>
      <w:r>
        <w:t xml:space="preserve">4. Entregue físicamente el material a Almacén. El almacenista confirma desde </w:t>
      </w:r>
      <w:r>
        <w:rPr>
          <w:b/>
        </w:rPr>
        <w:t>Movimientos &gt; Ver solicitudes &gt; Devoluciones de materiales por recibir</w:t>
      </w:r>
      <w:r>
        <w:t>.</w:t>
      </w:r>
    </w:p>
    <w:p>
      <w:pPr>
        <w:ind w:left="283" w:hanging="283"/>
      </w:pPr>
      <w:r>
        <w:t>5. Consulte la devolución vinculada y el costo neto de la orden. La salida original y la cantidad entregada se conservan.</w:t>
      </w:r>
    </w:p>
    <w:p>
      <w:r>
        <w:t xml:space="preserve">La solicitud no aumenta existencias. Si la entrada ya se registró pero falta confirmar en la orden, Almacén usa </w:t>
      </w:r>
      <w:r>
        <w:rPr>
          <w:b/>
        </w:rPr>
        <w:t>Continuar confirmación pendiente</w:t>
      </w:r>
      <w:r>
        <w:t xml:space="preserve"> sobre la misma solicitud.</w:t>
      </w:r>
    </w:p>
    <w:p>
      <w:pPr>
        <w:pStyle w:val="Heading1"/>
      </w:pPr>
      <w:r>
        <w:t>Producto terminado</w:t>
      </w:r>
    </w:p>
    <w:p>
      <w:r>
        <w:t>Al terminar una orden, Producción expone a Almacenes una proyección mínima: folio, producto vinculado, cantidad, unidad y costo unitario. El almacenista confirma una o varias recepciones. Producción no incrementa existencias por sí misma y no expone receta, responsables o costos completos al rol receptor.</w:t>
      </w:r>
    </w:p>
    <w:p>
      <w:pPr>
        <w:pStyle w:val="Heading1"/>
      </w:pPr>
      <w:r>
        <w:t>Mensajes frecuentes</w:t>
      </w:r>
    </w:p>
    <w:p>
      <w:pPr>
        <w:pStyle w:val="ListBullet"/>
      </w:pPr>
      <w:r>
        <w:rPr>
          <w:b/>
        </w:rPr>
        <w:t>Receta aprobada vigente requerida:</w:t>
      </w:r>
      <w:r>
        <w:t xml:space="preserve"> seleccione una versión aprobada y activa.</w:t>
      </w:r>
    </w:p>
    <w:p>
      <w:pPr>
        <w:pStyle w:val="ListBullet"/>
      </w:pPr>
      <w:r>
        <w:rPr>
          <w:b/>
        </w:rPr>
        <w:t>Los porcentajes deben sumar 100:</w:t>
      </w:r>
      <w:r>
        <w:t xml:space="preserve"> corrija los pesos de fase.</w:t>
      </w:r>
    </w:p>
    <w:p>
      <w:pPr>
        <w:pStyle w:val="ListBullet"/>
      </w:pPr>
      <w:r>
        <w:rPr>
          <w:b/>
        </w:rPr>
        <w:t>Recurso no disponible:</w:t>
      </w:r>
      <w:r>
        <w:t xml:space="preserve"> revise existencia, reserva concurrente, trabajador, máquina u horizonte.</w:t>
      </w:r>
    </w:p>
    <w:p>
      <w:pPr>
        <w:pStyle w:val="ListBullet"/>
      </w:pPr>
      <w:r>
        <w:rPr>
          <w:b/>
        </w:rPr>
        <w:t>Capacidad laboral insuficiente:</w:t>
      </w:r>
      <w:r>
        <w:t xml:space="preserve"> active trabajadores en el puesto exacto requerido.</w:t>
      </w:r>
    </w:p>
    <w:p>
      <w:pPr>
        <w:pStyle w:val="ListBullet"/>
      </w:pPr>
      <w:r>
        <w:rPr>
          <w:b/>
        </w:rPr>
        <w:t>Unidad de medida no activa:</w:t>
      </w:r>
      <w:r>
        <w:t xml:space="preserve"> corrija el artículo o use una unidad vigente; no altere historia con movimientos.</w:t>
      </w:r>
    </w:p>
    <w:p>
      <w:pPr>
        <w:pStyle w:val="ListBullet"/>
      </w:pPr>
      <w:r>
        <w:rPr>
          <w:b/>
        </w:rPr>
        <w:t>Todas las fases deben tener 100%:</w:t>
      </w:r>
      <w:r>
        <w:t xml:space="preserve"> regrese a </w:t>
      </w:r>
      <w:r>
        <w:rPr>
          <w:b/>
        </w:rPr>
        <w:t>En producción</w:t>
      </w:r>
      <w:r>
        <w:t xml:space="preserve"> y complete las fases pendientes.</w:t>
      </w:r>
    </w:p>
    <w:p>
      <w:pPr>
        <w:pStyle w:val="ListBullet"/>
      </w:pPr>
      <w:r>
        <w:rPr>
          <w:b/>
        </w:rPr>
        <w:t>Maquinaria en mantenimiento:</w:t>
      </w:r>
      <w:r>
        <w:t xml:space="preserve"> espere liberación y vuelva a validar la orden.</w:t>
      </w:r>
    </w:p>
    <w:p>
      <w:pPr>
        <w:pStyle w:val="ListBullet"/>
      </w:pPr>
      <w:r>
        <w:rPr>
          <w:b/>
        </w:rPr>
        <w:t>Falta la salida completa de materiales:</w:t>
      </w:r>
      <w:r>
        <w:t xml:space="preserve"> Almacén debe usar </w:t>
      </w:r>
      <w:r>
        <w:rPr>
          <w:b/>
        </w:rPr>
        <w:t>Autorizar y entregar</w:t>
      </w:r>
      <w:r>
        <w:t xml:space="preserve"> en Movimientos; después vuelva a intentar el cambio en Órdenes.</w:t>
      </w:r>
    </w:p>
    <w:p>
      <w:pPr>
        <w:pStyle w:val="ListBullet"/>
      </w:pPr>
      <w:r>
        <w:rPr>
          <w:b/>
        </w:rPr>
        <w:t>Responsable no elegible:</w:t>
      </w:r>
      <w:r>
        <w:t xml:space="preserve"> revise en RH el trabajador y su puesto vigente antes de iniciar o reanudar.</w:t>
      </w:r>
    </w:p>
    <w:p>
      <w:pPr>
        <w:pStyle w:val="ListBullet"/>
      </w:pPr>
      <w:r>
        <w:rPr>
          <w:b/>
        </w:rPr>
        <w:t>Entrega pendiente de conciliación:</w:t>
      </w:r>
      <w:r>
        <w:t xml:space="preserve"> Almacén debe reintentar la entrega existente; no registre una salida manual adicional.</w:t>
      </w:r>
    </w:p>
    <w:p>
      <w:pPr>
        <w:pStyle w:val="Heading1"/>
      </w:pPr>
      <w:r>
        <w:t>Integraciones y propiedad del dato</w:t>
      </w:r>
    </w:p>
    <w:p>
      <w:pPr>
        <w:pStyle w:val="ListBullet"/>
      </w:pPr>
      <w:r>
        <w:t>Administración es autoridad de unidades, folios, permisos y entitlements.</w:t>
      </w:r>
    </w:p>
    <w:p>
      <w:pPr>
        <w:pStyle w:val="ListBullet"/>
      </w:pPr>
      <w:r>
        <w:t>RH es autoridad de áreas, puestos, trabajadores y elegibilidad.</w:t>
      </w:r>
    </w:p>
    <w:p>
      <w:pPr>
        <w:pStyle w:val="ListBullet"/>
      </w:pPr>
      <w:r>
        <w:t>Inventario es autoridad de artículos, almacenes, existencias, reservas, movimientos y Kardex.</w:t>
      </w:r>
    </w:p>
    <w:p>
      <w:pPr>
        <w:pStyle w:val="ListBullet"/>
      </w:pPr>
      <w:r>
        <w:t>Mantenimiento solicita bloqueo o liberación; Producción decide la transición válida.</w:t>
      </w:r>
    </w:p>
    <w:p>
      <w:pPr>
        <w:pStyle w:val="ListBullet"/>
      </w:pPr>
      <w:r>
        <w:t>Ventas puede crear solicitudes de producción, pero no libera una orden automáticamente.</w:t>
      </w:r>
    </w:p>
    <w:p>
      <w:pPr>
        <w:pStyle w:val="Heading1"/>
      </w:pPr>
      <w:r>
        <w:t>Reportes estándar de portada</w:t>
      </w:r>
    </w:p>
    <w:p>
      <w:r>
        <w:t xml:space="preserve">La portada ofrece cinco reportes descargables: productos y servicios, recetas y versiones, órdenes, entregables por área y maquinaria. Abra la tarjeta, capture sólo los filtros necesarios y pulse </w:t>
      </w:r>
      <w:r>
        <w:rPr>
          <w:b/>
        </w:rPr>
        <w:t>Generar</w:t>
      </w:r>
      <w:r>
        <w:t>. Puede escribir para encontrar tipo, estatus o prioridad; la búsqueda general acepta texto libre y el periodo usa fechas. Si no hay coincidencias se informa el estado vacío y no se descarga un archivo.</w:t>
      </w:r>
    </w:p>
    <w:p>
      <w:r>
        <w:t xml:space="preserve">Cada reporte exige el permiso de lectura del recurso: </w:t>
      </w:r>
      <w:r>
        <w:rPr>
          <w:rFonts w:ascii="Consolas" w:hAnsi="Consolas"/>
          <w:sz w:val="18"/>
        </w:rPr>
        <w:t>production.product_service.read</w:t>
      </w:r>
      <w:r>
        <w:t xml:space="preserve">, </w:t>
      </w:r>
      <w:r>
        <w:rPr>
          <w:rFonts w:ascii="Consolas" w:hAnsi="Consolas"/>
          <w:sz w:val="18"/>
        </w:rPr>
        <w:t>production.recipe.read</w:t>
      </w:r>
      <w:r>
        <w:t xml:space="preserve">, </w:t>
      </w:r>
      <w:r>
        <w:rPr>
          <w:rFonts w:ascii="Consolas" w:hAnsi="Consolas"/>
          <w:sz w:val="18"/>
        </w:rPr>
        <w:t>production.order.read</w:t>
      </w:r>
      <w:r>
        <w:t xml:space="preserve"> o </w:t>
      </w:r>
      <w:r>
        <w:rPr>
          <w:rFonts w:ascii="Consolas" w:hAnsi="Consolas"/>
          <w:sz w:val="18"/>
        </w:rPr>
        <w:t>production.machine.read</w:t>
      </w:r>
      <w:r>
        <w:t>. Estas descargas están disponibles en Local y QA; Reportes conservará los cruces, gráficas, PDF y Excel con formato.</w:t>
      </w:r>
    </w:p>
    <w:p>
      <w:pPr>
        <w:pStyle w:val="Heading1"/>
      </w:pPr>
      <w:r>
        <w:t>Limitaciones vigentes</w:t>
      </w:r>
    </w:p>
    <w:p>
      <w:r>
        <w:t>No están disponibles calendario configurable por tenant, turnos, festivos, ausencias, merma recibida, captura obligatoria de eficiencia real ni borrador separado de liberación. Los análisis configurables pertenecen a Reportes.</w:t>
      </w:r>
    </w:p>
    <w:p>
      <w:pPr>
        <w:pStyle w:val="Heading1"/>
      </w:pPr>
      <w:r>
        <w:t>Ejemplo de entrega y sobrante</w:t>
      </w:r>
    </w:p>
    <w:p>
      <w:r>
        <w:t>Una orden requiere 10 unidades de material. Al liberarla se apartan las 10, sin reducir la existencia física. Almacén entrega las 10 desde Movimientos y entonces Producción inicia. Al terminar quedan 2 sin usar: Producción solicita devolver 2 y Almacén confirma su recepción. Se conserva la salida original de 10, se registra una entrada de 2 y el costo neto refleja la devolución.</w:t>
      </w:r>
    </w:p>
    <w:p>
      <w:pPr>
        <w:pStyle w:val="Heading1"/>
      </w:pPr>
      <w:r>
        <w:t>Soporte y trazabilidad visible</w:t>
      </w:r>
    </w:p>
    <w:p>
      <w:r>
        <w:t>Conserve folio de orden, estado, fase, fecha y referencia de correlación cuando aparezca. No registre salidas manuales para corregir una integración pendiente: reintente desde la acción autorizada o escale a soporte.</w:t>
      </w:r>
    </w:p>
    <w:sectPr w:rsidR="00FC693F" w:rsidRPr="0006063C" w:rsidSect="00034616">
      <w:footerReference w:type="default" r:id="rId9"/>
      <w:pgSz w:w="12240" w:h="15840"/>
      <w:pgMar w:top="1020" w:right="1414" w:bottom="1020" w:left="141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464646"/>
        <w:sz w:val="16"/>
      </w:rPr>
      <w:t xml:space="preserve">ERClave  |  Local / QA pendiente  |  14 septiembre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220"/>
      <w:contextualSpacing/>
    </w:pPr>
    <w:rPr>
      <w:rFonts w:asciiTheme="majorHAnsi" w:eastAsiaTheme="majorEastAsia" w:hAnsiTheme="majorHAnsi" w:cstheme="majorBidi" w:ascii="Calibri" w:hAnsi="Calibri"/>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funcional de Producción</dc:title>
  <dc:subject>Manual operativo: base QA b63cdad y mejoras Local pendientes de promoción</dc:subject>
  <dc:creator>ERClave</dc:creator>
  <cp:keywords/>
  <dc:description>generated by python-docx</dc:description>
  <cp:lastModifiedBy/>
  <cp:revision>1</cp:revision>
  <dcterms:created xsi:type="dcterms:W3CDTF">2013-12-23T23:15:00Z</dcterms:created>
  <dcterms:modified xsi:type="dcterms:W3CDTF">2013-12-23T23:15:00Z</dcterms:modified>
  <cp:category/>
</cp:coreProperties>
</file>