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E745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仓颉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生态创新开发挑战赛</w:t>
      </w:r>
    </w:p>
    <w:p w14:paraId="048771C5">
      <w:pPr>
        <w:spacing w:before="480" w:after="480" w:line="288" w:lineRule="auto"/>
        <w:ind w:left="0"/>
        <w:jc w:val="center"/>
        <w:rPr>
          <w:sz w:val="44"/>
          <w:szCs w:val="44"/>
        </w:rPr>
      </w:pPr>
      <w:r>
        <w:rPr>
          <w:rFonts w:ascii="Arial" w:hAnsi="Arial" w:eastAsia="等线" w:cs="Arial"/>
          <w:b/>
          <w:sz w:val="44"/>
          <w:szCs w:val="44"/>
        </w:rPr>
        <w:t>作品</w:t>
      </w:r>
      <w:r>
        <w:rPr>
          <w:rFonts w:hint="eastAsia" w:ascii="Arial" w:hAnsi="Arial" w:eastAsia="等线" w:cs="Arial"/>
          <w:b/>
          <w:sz w:val="44"/>
          <w:szCs w:val="44"/>
          <w:lang w:val="en-US" w:eastAsia="zh-CN"/>
        </w:rPr>
        <w:t>提交</w:t>
      </w:r>
      <w:r>
        <w:rPr>
          <w:rFonts w:ascii="Arial" w:hAnsi="Arial" w:eastAsia="等线" w:cs="Arial"/>
          <w:b/>
          <w:sz w:val="44"/>
          <w:szCs w:val="44"/>
        </w:rPr>
        <w:t>模板</w:t>
      </w:r>
    </w:p>
    <w:p w14:paraId="4B8BD2B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：仓颉</w:t>
      </w:r>
      <w:r>
        <w:rPr>
          <w:rFonts w:hint="eastAsia" w:ascii="Arial" w:hAnsi="Arial" w:eastAsia="等线" w:cs="Arial"/>
          <w:sz w:val="22"/>
          <w:lang w:val="en-US" w:eastAsia="zh-CN"/>
        </w:rPr>
        <w:t>生态创新开发挑战赛作品提交</w:t>
      </w:r>
    </w:p>
    <w:p w14:paraId="63622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写说明：本模板为仓颉生态创新开发挑战赛赛事专属通用模板，适用于技术课题、工具类库、组件类库、算法类库、业务通用库、IoT适配库、性能优化库、框架类等所有作品。参赛者可根据自身作品的功能定位、应用场景微调模块内容，所有空白内容需如实、详细填写，重点突出仓颉语言特性、作品的实用性、通用性、创新性、生态赋能价值与商业价值，杜绝空项、笼统表述、套话空话。仓颉AI生态贡献加分为可选项，所有团队均须勾选是否申请；不申请的团队无需填写本模板第九部分的详细内容。仅使用AI辅助代码生成、测试、迁移、文档编写或一般性优化，不设置独立加分。</w:t>
      </w:r>
    </w:p>
    <w:p w14:paraId="41957B8E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基础信息（必填）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158"/>
        <w:gridCol w:w="2142"/>
        <w:gridCol w:w="2370"/>
      </w:tblGrid>
      <w:tr w14:paraId="58A7AC77">
        <w:tc>
          <w:tcPr>
            <w:tcW w:w="1851" w:type="dxa"/>
          </w:tcPr>
          <w:p w14:paraId="68DFA0F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赛事作品名称</w:t>
            </w:r>
          </w:p>
        </w:tc>
        <w:tc>
          <w:tcPr>
            <w:tcW w:w="6670" w:type="dxa"/>
            <w:gridSpan w:val="3"/>
          </w:tcPr>
          <w:p w14:paraId="75083C9D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color w:val="000000"/>
              </w:rPr>
              <w:t>CjRepoMesh 仓颉中心仓多仓配置与私有化体系</w:t>
            </w:r>
          </w:p>
        </w:tc>
      </w:tr>
      <w:tr w14:paraId="3D2E55CD">
        <w:tc>
          <w:tcPr>
            <w:tcW w:w="1851" w:type="dxa"/>
          </w:tcPr>
          <w:p w14:paraId="0DB848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队伍名称</w:t>
            </w:r>
          </w:p>
        </w:tc>
        <w:tc>
          <w:tcPr>
            <w:tcW w:w="6670" w:type="dxa"/>
            <w:gridSpan w:val="3"/>
          </w:tcPr>
          <w:p w14:paraId="0485E359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color w:val="000000"/>
              </w:rPr>
              <w:t>（请参赛者填写）</w:t>
            </w:r>
          </w:p>
        </w:tc>
      </w:tr>
      <w:tr w14:paraId="38425DB1">
        <w:tc>
          <w:tcPr>
            <w:tcW w:w="1851" w:type="dxa"/>
          </w:tcPr>
          <w:p w14:paraId="155C0DF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队伍负责人</w:t>
            </w:r>
          </w:p>
        </w:tc>
        <w:tc>
          <w:tcPr>
            <w:tcW w:w="6670" w:type="dxa"/>
            <w:gridSpan w:val="3"/>
          </w:tcPr>
          <w:p w14:paraId="7A73102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color w:val="000000"/>
              </w:rPr>
              <w:t>（请参赛者填写）</w:t>
            </w:r>
          </w:p>
        </w:tc>
      </w:tr>
      <w:tr w14:paraId="1C8F0497">
        <w:tc>
          <w:tcPr>
            <w:tcW w:w="1851" w:type="dxa"/>
          </w:tcPr>
          <w:p w14:paraId="367DB0D9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队伍成员</w:t>
            </w:r>
          </w:p>
        </w:tc>
        <w:tc>
          <w:tcPr>
            <w:tcW w:w="6670" w:type="dxa"/>
            <w:gridSpan w:val="3"/>
          </w:tcPr>
          <w:p w14:paraId="19A2221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color w:val="000000"/>
              </w:rPr>
              <w:t>（请参赛者填写）</w:t>
            </w:r>
          </w:p>
        </w:tc>
      </w:tr>
      <w:tr w14:paraId="71DF76D6">
        <w:tc>
          <w:tcPr>
            <w:tcW w:w="1851" w:type="dxa"/>
          </w:tcPr>
          <w:p w14:paraId="5CAA26E1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158" w:type="dxa"/>
          </w:tcPr>
          <w:p w14:paraId="554A4E4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color w:val="000000"/>
              </w:rPr>
              <w:t>（请参赛者填写）</w:t>
            </w:r>
          </w:p>
        </w:tc>
        <w:tc>
          <w:tcPr>
            <w:tcW w:w="2142" w:type="dxa"/>
          </w:tcPr>
          <w:p w14:paraId="619920B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联系邮箱</w:t>
            </w:r>
          </w:p>
        </w:tc>
        <w:tc>
          <w:tcPr>
            <w:tcW w:w="2370" w:type="dxa"/>
          </w:tcPr>
          <w:p w14:paraId="250540AE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color w:val="000000"/>
              </w:rPr>
              <w:t>（请参赛者填写）</w:t>
            </w:r>
          </w:p>
        </w:tc>
      </w:tr>
      <w:tr w14:paraId="461D4668">
        <w:tc>
          <w:tcPr>
            <w:tcW w:w="1851" w:type="dxa"/>
          </w:tcPr>
          <w:p w14:paraId="4933EE4E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作品类型</w:t>
            </w:r>
          </w:p>
        </w:tc>
        <w:tc>
          <w:tcPr>
            <w:tcW w:w="6670" w:type="dxa"/>
            <w:gridSpan w:val="3"/>
          </w:tcPr>
          <w:p w14:paraId="3C1B7CA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  <w:color w:val="000000"/>
              </w:rPr>
              <w:t>☒ 技术课题  ☐ 通用工具库  ☐ UI组件库  ☐ 算法数据库  ☐ 网络请求库  ☐ 数据解析库  ☐ IoT适配库  ☐ 性能优化库  ☐ 安全加密库  ☐ 应用框架  ☐ 其他</w:t>
            </w:r>
          </w:p>
        </w:tc>
      </w:tr>
      <w:tr w14:paraId="32E2A273">
        <w:tc>
          <w:tcPr>
            <w:tcW w:w="1851" w:type="dxa"/>
          </w:tcPr>
          <w:p w14:paraId="787A4F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使用环境</w:t>
            </w:r>
          </w:p>
        </w:tc>
        <w:tc>
          <w:tcPr>
            <w:tcW w:w="6670" w:type="dxa"/>
            <w:gridSpan w:val="3"/>
          </w:tcPr>
          <w:p w14:paraId="7257CF4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bookmarkStart w:id="9" w:name="_GoBack"/>
            <w:bookmarkEnd w:id="9"/>
            <w:r>
              <w:rPr>
                <w:rFonts w:hint="eastAsia" w:ascii="Arial" w:hAnsi="Arial" w:eastAsia="等线" w:cs="Arial"/>
                <w:sz w:val="22"/>
                <w:lang w:eastAsia="zh-CN"/>
                <w:color w:val="000000"/>
              </w:rPr>
              <w:t>☒ 仓颉原生环境  ☐ 鸿蒙系统适配  ☒ 服务端场景  ☐ 客户端场景  ☐ 跨端场景  ☐ 其他</w:t>
            </w:r>
          </w:p>
        </w:tc>
      </w:tr>
    </w:tbl>
    <w:p w14:paraId="0DBE848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5F367A4B">
      <w:pPr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sz w:val="22"/>
          <w:color w:val="000000"/>
        </w:rPr>
        <w:t>1. 项目一句话定位：CjRepoMesh 为仓颉原生 cjpm 增加可配置的多仓依赖来源，并提供轻量私有中心仓的 Hosted、Proxy、Mirror 和仓间 Sync 闭环，使企业内部包与公共依赖可以在明确的安全边界内构建和审计。</w:t>
      </w:r>
    </w:p>
    <w:p w14:paraId="1CF223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2. 项目开发背景：单一公共仓无法容纳不能公开发布的内部包。简单按优先级逐仓查找会让旧版本覆盖新版本，认证失败时回退公共仓还可能引入同名包劫持。项目在原 cjpm 求解器之外增加仓库路由和来源层，不改写版本约束与冲突规则。</w:t>
      </w:r>
    </w:p>
    <w:p w14:paraId="36CAC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3. 项目核心目标：基础能力包括命名仓库、优先级、禁用仓、令牌环境变量、跨仓候选聚合、同版本来源确定和私有仓部署。进阶能力包括独占命名空间、401/403 阻断、来源及 SHA-256 审计、并发安全代理缓存、校验后镜像与增量同步。</w:t>
      </w:r>
    </w:p>
    <w:p w14:paraId="279548E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二、需求分析与适用人群</w:t>
      </w:r>
      <w:bookmarkEnd w:id="1"/>
    </w:p>
    <w:p w14:paraId="33BF1A8B">
      <w:pPr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sz w:val="22"/>
          <w:color w:val="000000"/>
        </w:rPr>
        <w:t>1. 目标用户：管理企业内部仓颉包的服务端团队，同时使用公共与私有依赖的应用团队，以及需要离线构建或包来源审计的研发和教学团队。当前证据基于本地 Linux、Docker 和历史 Windows 环境，不宣称已在鸿蒙设备部署。</w:t>
      </w:r>
    </w:p>
    <w:p w14:paraId="54110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2. 行业开发痛点：内部包不能直接放入公共中心仓；单仓故障影响构建；单纯仓库优先级可能改变版本求解结果；同名高版本公共包会威胁私有命名空间；离线缓存与同步若没有校验，难以证明制品来源和完整性。</w:t>
      </w:r>
    </w:p>
    <w:p w14:paraId="299DF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3. 解决方案：命名仓库和路由解决来源管理，候选版本聚合后仍交给原求解器解决版本与冲突；exclusive 路由和认证失败阻断保护私有包；Proxy 校验缓存及清单式 Mirror/Sync 提供离线复用；repo explain、repo doctor 与独立来源审计文件提供可观察性。</w:t>
      </w:r>
    </w:p>
    <w:p w14:paraId="341747F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作品</w:t>
      </w:r>
      <w:r>
        <w:rPr>
          <w:rFonts w:ascii="Arial" w:hAnsi="Arial" w:eastAsia="等线" w:cs="Arial"/>
          <w:b/>
          <w:sz w:val="32"/>
        </w:rPr>
        <w:t>核心能力与功能设计</w:t>
      </w:r>
      <w:bookmarkEnd w:id="2"/>
    </w:p>
    <w:p w14:paraId="5E128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CjRepoMesh 将仓库来源路由与依赖求解分层，并用同一仓颉服务端实现私有托管、代理缓存、清单镜像和仓间同步。</w:t>
      </w:r>
    </w:p>
    <w:p w14:paraId="42873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基础通用能力（</w:t>
      </w:r>
      <w:r>
        <w:rPr>
          <w:rFonts w:hint="eastAsia" w:ascii="Arial" w:hAnsi="Arial" w:eastAsia="等线" w:cs="Arial"/>
          <w:sz w:val="22"/>
          <w:lang w:val="en-US" w:eastAsia="zh-CN"/>
        </w:rPr>
        <w:t>作品</w:t>
      </w:r>
      <w:r>
        <w:rPr>
          <w:rFonts w:ascii="Arial" w:hAnsi="Arial" w:eastAsia="等线" w:cs="Arial"/>
          <w:sz w:val="22"/>
        </w:rPr>
        <w:t>核心必备功能，保障可用、好用）</w:t>
      </w:r>
    </w:p>
    <w:p w14:paraId="0ED56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（1）能力一：多仓解析</w:t>
        <w:br/>
        <w:t>功能介绍：通过 cangjie-repo.toml 声明仓库 URL、优先级、enabled、token-env 和路由规则。</w:t>
        <w:br/>
        <w:t>适用开发场景：公共依赖与企业内部包混合构建。</w:t>
        <w:br/>
        <w:t>调用方式简述：Router 聚合允许仓库的候选版本，原 cjpm 求解器选择最终版本，同版本再按优先级确定来源。</w:t>
        <w:br/>
        <w:t>实现效果与价值：高优先仓只有 1.0.0、低优先仓有 2.0.0 时，仍能选择满足约束的 2.0.0。</w:t>
      </w:r>
    </w:p>
    <w:p w14:paraId="2E6DC6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（2）能力二：私有中心仓服务</w:t>
        <w:br/>
        <w:t>功能介绍：Hosted 提供发布、索引和制品下载；Proxy 缓存已校验的上游数据；Mirror 和 Sync 按清单批量处理包。</w:t>
        <w:br/>
        <w:t>适用开发场景：企业私有包托管、离线缓存、内网镜像和仓库迁移。</w:t>
        <w:br/>
        <w:t>调用方式简述：Docker Compose 一条命令启动，Doctor 完成九项诊断。</w:t>
        <w:br/>
        <w:t>实现效果与价值：真实 cjpm 已完成组织包发布、拉包编译，以及源仓离线后的目标仓构建。</w:t>
      </w:r>
    </w:p>
    <w:p w14:paraId="7E85C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创新特色能力（赛事加分核心，重点填写）</w:t>
      </w:r>
    </w:p>
    <w:p w14:paraId="334C6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创新主要体现在版本求解与来源选择解耦，以及认证失败和私有命名空间场景的安全感知回退。</w:t>
      </w:r>
    </w:p>
    <w:p w14:paraId="240C4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（1）创新点一：版本求解与仓库来源解耦</w:t>
        <w:br/>
        <w:t>创新详情：跨仓候选版本不会因仓库优先级而提前剪枝，继续沿用原生 replace 和传递依赖冲突语义。</w:t>
        <w:br/>
        <w:t>相较于顺序查找仓库的优势：避免旧版高优先仓错误覆盖新版依赖，并记录来源与 SHA-256。</w:t>
      </w:r>
    </w:p>
    <w:p w14:paraId="02F39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（2）创新点二：安全感知回退</w:t>
        <w:br/>
        <w:t>创新详情：company::* 独占路由不会访问公共仓；普通依赖遇到 401/403 也阻断向低优先仓回退。</w:t>
        <w:br/>
        <w:t>相较于无条件回退的优势：私有仓 404/401/403/500 故障矩阵中，公共仓请求数实测均为 0。</w:t>
      </w:r>
    </w:p>
    <w:p w14:paraId="0D4BE9E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四、仓颉语言核心特性应用</w:t>
      </w:r>
      <w:bookmarkEnd w:id="3"/>
    </w:p>
    <w:p w14:paraId="0ACBD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1. 模块化与接口实现：服务端将 HTTP 分发、Hosted、Proxy、存储和同步拆分为仓颉源文件；PublishHandler、ProxyIndexHandler 等类实现 HttpRequestHandler，使请求入口与存储操作解耦。</w:t>
      </w:r>
    </w:p>
    <w:p w14:paraId="77EF3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2. 并发同步：storage.cj 建立 256 路有界 Mutex 锁分片；hosted.cj 与 proxy.cj 用 synchronized(packageStorageLock(...)) 保护同包发布和首次填充，同时允许不同锁分片的包并行。测试覆盖同包原子性与不同包慢上游并行；哈希碰撞仍可能串行。</w:t>
      </w:r>
    </w:p>
    <w:p w14:paraId="2835A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3. 异常与类型约束：服务端针对包名、版本、索引、校验和与网络错误使用显式类型及 try/catch；不合法组织名在访问上游前拒绝。sync.cj 对清单逐项处理并汇总部分失败，避免单项错误伪装为全量成功。</w:t>
      </w:r>
    </w:p>
    <w:p w14:paraId="2C34F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开发技术栈与工具：仓颉 Compiler 1.1.3、stdx 1.1.3.1、原生 cjpm。服务核心与增强客户端为仓颉代码；PowerShell 与 Python 标准库负责编排部署和跨平台测试。Linux 验证环境为 WSL 2 Ubuntu 22.04.5，Docker 镜像基于 Ubuntu 22.04。</w:t>
      </w:r>
    </w:p>
    <w:p w14:paraId="2BC89E6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五、库性能与兼容性设计</w:t>
      </w:r>
      <w:bookmarkEnd w:id="4"/>
    </w:p>
    <w:p w14:paraId="4C7DD5AA">
      <w:pPr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sz w:val="22"/>
          <w:color w:val="000000"/>
        </w:rPr>
        <w:t>1. 性能优化设计：Proxy 在相同本机 HTTP 夹具下，10 轮冷请求中位数为 62.76 ms，50 轮热请求中位数为 33.102 ms，中位数比值约 1.9。该结果仅说明本机已校验缓存路径比冷填充路径快，不代表公网或跨机收益。原始样本见 benchmark/results/proxy-benchmark.json。</w:t>
      </w:r>
    </w:p>
    <w:p w14:paraId="461F30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2. 兼容性设计：服务端和增强版 cjpm 在 Cangjie 1.1.3 Linux 上完成四组端到端回归；官方 Maple 本地子集分别在原版与增强版通过。Docker Doctor 九项通过。Windows 历史五组通过，但当前未签名 SDK 被 Code Integrity 拦截，不能宣称当前提交已完成 Windows 复测；完整官方 HLT/LLT 也尚未运行。</w:t>
      </w:r>
    </w:p>
    <w:p w14:paraId="5C919D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3. 稳定性与容错设计：发布拒绝错误令牌、错误 SHA-256 与重复版本；Proxy 拒绝损坏制品且不会缓存；Sync 对相同 SHA-256 跳过，对不同 SHA-256 冲突拒绝覆盖。Docker 默认非 root、只读根文件系统、丢弃 capabilities、仅绑定本机端口，持久化卷重建后保留包和校验和。</w:t>
      </w:r>
    </w:p>
    <w:p w14:paraId="4DA16FF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六、使用说明与落地场景</w:t>
      </w:r>
      <w:bookmarkEnd w:id="5"/>
    </w:p>
    <w:p w14:paraId="3D02E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1. 快速接入说明：按 README_CJREPOMESH.md 配置 cangjie-repo.toml，按 deployment/docker/README.md 启动 Compose，再运行 deployment/docker/doctor.ps1 检查九项。私有令牌由被 Git 忽略的 .env 或环境变量提供，不写入仓库。跨平台回归入口见 integration-tests/README.md。</w:t>
      </w:r>
    </w:p>
    <w:p w14:paraId="38C8A869">
      <w:pPr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sz w:val="22"/>
          <w:color w:val="000000"/>
        </w:rPr>
        <w:t>2. 落地应用场景：企业研发团队可把内部包托管在 Hosted，公共包经 Proxy 缓存；内网环境按显式清单镜像所需版本，或从一个 CjRepo 同步到另一个；离线构建时使用已校验缓存，并由 repo explain 核对实际来源。</w:t>
      </w:r>
    </w:p>
    <w:p w14:paraId="4561D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3. 核心价值：减少手工切换仓库与重复搭建私有包服务的工作；在私有命名空间和认证失败场景下保住来源边界；保留原求解器规则并给出可核验的包来源。当前未收集真实企业用户的长期使用反馈，不对生产规模或商业收益作定量承诺。</w:t>
      </w:r>
    </w:p>
    <w:p w14:paraId="0C526B8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七、可行性与开发落地规划</w:t>
      </w:r>
      <w:bookmarkEnd w:id="6"/>
    </w:p>
    <w:p w14:paraId="28055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1. 技术可行性：仓颉原生服务端和增强版 cjpm 已构建并通过 Linux 四组核心回归。2026 年 9 月 26 日，本地交付材料提交 98e9f849 真实重编译服务端并运行四组，4/4 PASS、252.01 秒，随后 Docker Doctor 九项与 Overall PASS。该提交只改文档与官方表格草稿，产品代码与已验证版本相同；当前 AtomGit 与 GitHub 的公开 main 仍为 8cd4a821，两边匿名检出均成功。</w:t>
      </w:r>
    </w:p>
    <w:p w14:paraId="3336E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2. 落地可行性：仓库保留 Apache 2.0 相关上游许可和改造说明，提供部署脚本、配置示例、故障诊断、安全边界及可复验测试。私有读取鉴权可配置但默认不开启；公网部署还需配置 TLS、网络隔离与运维审计。</w:t>
      </w:r>
    </w:p>
    <w:p w14:paraId="778B1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3. 开发进度规划：四项技术交付已有实现及本地证据，本地交付材料提交 98e9f849 已完成 Linux 四组和 Docker Doctor 复核。提交前仍需由参赛者补齐身份、联系方式、正式视频链接和签字，生成最终 PDF，并把最终提交同步到公开仓后再次匿名核验。后续优先扩充官方 HLT/LLT、补足合法签名 Windows SDK 复测，并增加持久化同步游标、断点续传、多实例协调与生产审计。</w:t>
      </w:r>
    </w:p>
    <w:p w14:paraId="15F292A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八、作品总结与未来展望</w:t>
      </w:r>
      <w:bookmarkEnd w:id="7"/>
    </w:p>
    <w:p w14:paraId="0CD05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1. 项目总结：CjRepoMesh 将多仓来源路由与原 cjpm 依赖求解分层，配合私有 Hosted、Proxy、清单 Mirror、增量 Sync 和来源 SHA-256 审计，解决内部包托管、离线依赖和安全回退问题。当前证据证明本地端到端可运行，不等于长期生产稳定性或完整官方兼容认证。</w:t>
      </w:r>
    </w:p>
    <w:p w14:paraId="7A4A2C6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5A5A5" w:themeColor="background1" w:themeShade="A6"/>
          <w:sz w:val="22"/>
          <w:lang w:val="en-US" w:eastAsia="zh-CN"/>
        </w:rPr>
      </w:pPr>
      <w:r>
        <w:rPr>
          <w:rFonts w:ascii="Arial" w:hAnsi="Arial" w:eastAsia="等线" w:cs="Arial"/>
          <w:sz w:val="22"/>
          <w:color w:val="000000"/>
        </w:rPr>
        <w:t>2. 未来展望：补足完整 Maple HLT/LLT 与 Windows 当前版本复测；改进同步断点恢复和多实例协调；增加签名、审计日志、TLS 部署范例与真实团队试用反馈。Mirror 继续明确为显式清单镜像，不宣称全量复制公共中心仓。</w:t>
      </w:r>
    </w:p>
    <w:p w14:paraId="3633CAF9">
      <w:pPr>
        <w:keepNext/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九、仓颉AI生态贡献加分申请（可选）</w:t>
      </w:r>
    </w:p>
    <w:p w14:paraId="423C3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本项最高10分，仅面向为仓颉AI生态形成的可运行、可复用、可验证贡献成果。普通AI辅助开发不单独加分；不以工具数量、调用次数或AI使用过程作为评分依据。申请成果可以是AI工具、Skill、Agent、MCP工具、工作流、提示模板、语料或示例能力。</w:t>
      </w:r>
    </w:p>
    <w:p w14:paraId="18E44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color w:val="000000"/>
        </w:rPr>
        <w:t>申请情况（必选）：☒ 不申请仓颉 AI 生态贡献加分  ☐ 申请仓颉 AI 生态贡献加分</w:t>
        <w:br/>
        <w:t>说明：当前仓库没有单独可运行、可复用、可验证的仓颉 AI 工具、Skill、Agent 或 MCP 成果；AI 辅助编码、测试和文档不作为该专项申请。</w:t>
      </w:r>
    </w:p>
    <w:p w14:paraId="5C7245ED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十、补充说明（可选）</w:t>
      </w:r>
      <w:bookmarkEnd w:id="8"/>
    </w:p>
    <w:p w14:paraId="4C849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公开仓库：https://atomgit.com/Chemic666/CjRepoMesh</w:t>
        <w:br/>
        <w:t>技术证据：docs/architecture.md、docs/verification-report.md、docs/official-compatibility-report.md、docs/docker-verification.md、benchmark/results/proxy-benchmark.md。</w:t>
        <w:br/>
        <w:t>答辩材料：submission/CjRepoMesh-technical-defense-redesign-2026-09-23.pptx。</w:t>
        <w:br/>
        <w:t>演示视频链接：（请参赛者在正式视频上传并确认可匿名访问后填写）</w:t>
        <w:br/>
        <w:t>证据边界：Mirror 是显式清单镜像；cjpm-provenance.json 是独立审计文件；完整 Maple HLT/LLT 和当前 Windows 原生复测尚未完成。</w:t>
      </w:r>
    </w:p>
    <w:p w14:paraId="2172F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填报承诺</w:t>
      </w:r>
      <w:r>
        <w:rPr>
          <w:rFonts w:ascii="Arial" w:hAnsi="Arial" w:eastAsia="等线" w:cs="Arial"/>
          <w:sz w:val="22"/>
        </w:rPr>
        <w:t>：本团队承诺本次</w:t>
      </w:r>
      <w:r>
        <w:rPr>
          <w:rFonts w:hint="eastAsia" w:ascii="Arial" w:hAnsi="Arial" w:eastAsia="等线" w:cs="Arial"/>
          <w:sz w:val="22"/>
          <w:lang w:val="en-US" w:eastAsia="zh-CN"/>
        </w:rPr>
        <w:t>参赛作品为</w:t>
      </w:r>
      <w:r>
        <w:rPr>
          <w:rFonts w:ascii="Arial" w:hAnsi="Arial" w:eastAsia="等线" w:cs="Arial"/>
          <w:sz w:val="22"/>
        </w:rPr>
        <w:t>原创开源作品，无抄袭、盗用、侵权、搬运行为，代码与文档内容真实有效，符合赛事参赛规则，特此承诺。</w:t>
      </w:r>
    </w:p>
    <w:p w14:paraId="02339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团队签字：___________  日期：___________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7BB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6D1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EEC2B2"/>
    <w:rsid w:val="77F77F27"/>
    <w:rsid w:val="7BFEB7D2"/>
    <w:rsid w:val="EB9FBEE5"/>
    <w:rsid w:val="F77B58D7"/>
    <w:rsid w:val="FF1F06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2026-08-18T05:51:00Z</dcterms:created>
  <dc:creator>Apache POI</dc:creator>
  <cp:lastModifiedBy>人天自两空</cp:lastModifiedBy>
  <dcterms:modified xsi:type="dcterms:W3CDTF">2026-08-18T14:24:33Z</dcterms:modified>
  <dc:subject>赛事作品提交及仓颉AI生态贡献加分申请</dc:subject>
  <dc:title>仓颉生态创新开发挑战赛作品提交模板（AI生态贡献10分最新版）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{"Label":"1","ContentProducer":"001191110102MACQD9K64010000","ProduceID":"7674874260141477139","ReservedCode1":"","ContentPropagator":"","PropagateID":"","ReservedCode2":""}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A12C7042B9CB222682A4826A65B31171_42</vt:lpwstr>
  </property>
</Properties>
</file>