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691CA" w14:textId="3954525F" w:rsidR="00D75B16" w:rsidRPr="00CC2597" w:rsidRDefault="0062377A" w:rsidP="00484B22">
      <w:pPr>
        <w:pStyle w:val="Titel"/>
      </w:pPr>
      <w:commentRangeStart w:id="0"/>
      <w:r w:rsidRPr="00CC2597">
        <w:t xml:space="preserve">Quick </w:t>
      </w:r>
      <w:commentRangeEnd w:id="0"/>
      <w:r w:rsidR="00C12E7E">
        <w:rPr>
          <w:rStyle w:val="Kommentarzeichen"/>
          <w:rFonts w:eastAsiaTheme="minorHAnsi" w:cstheme="minorBidi"/>
          <w:b w:val="0"/>
          <w:spacing w:val="0"/>
          <w:kern w:val="0"/>
        </w:rPr>
        <w:commentReference w:id="0"/>
      </w:r>
      <w:r w:rsidRPr="00CC2597">
        <w:t xml:space="preserve">start guide for </w:t>
      </w:r>
      <w:r w:rsidR="00D7157B" w:rsidRPr="00CC2597">
        <w:t>AWATAR_1.0</w:t>
      </w:r>
      <w:r w:rsidR="00716B3E" w:rsidRPr="00CC2597">
        <w:t>.exe</w:t>
      </w:r>
    </w:p>
    <w:p w14:paraId="1C34AB5C" w14:textId="77777777" w:rsidR="00D7157B" w:rsidRPr="00CC2597" w:rsidRDefault="00D7157B" w:rsidP="00D7157B">
      <w:pPr>
        <w:rPr>
          <w:i/>
          <w:iCs/>
        </w:rPr>
      </w:pPr>
    </w:p>
    <w:p w14:paraId="79FCBFA7" w14:textId="77777777" w:rsidR="00F24941" w:rsidRPr="006D797C" w:rsidRDefault="00F24941" w:rsidP="00F24941">
      <w:pPr>
        <w:spacing w:before="100" w:beforeAutospacing="1" w:after="100" w:afterAutospacing="1"/>
        <w:rPr>
          <w:i/>
          <w:iCs/>
        </w:rPr>
      </w:pPr>
      <w:r w:rsidRPr="006D797C">
        <w:rPr>
          <w:i/>
          <w:iCs/>
        </w:rPr>
        <w:t xml:space="preserve">Magdalena Salzburger, </w:t>
      </w:r>
      <w:r>
        <w:rPr>
          <w:i/>
          <w:iCs/>
        </w:rPr>
        <w:t xml:space="preserve">Marc Reimann, Michael Hütter, Gabriel Schöpfer, Jessica Hartmann, Christian van der Linde, </w:t>
      </w:r>
      <w:r w:rsidRPr="006D797C">
        <w:rPr>
          <w:i/>
          <w:iCs/>
        </w:rPr>
        <w:t>Milan Ončák, and Martin K. Beyer*</w:t>
      </w:r>
    </w:p>
    <w:p w14:paraId="070C98ED" w14:textId="77777777" w:rsidR="00D7157B" w:rsidRPr="00CC2597" w:rsidRDefault="00D7157B" w:rsidP="00D7157B">
      <w:pPr>
        <w:rPr>
          <w:i/>
          <w:iCs/>
          <w:lang w:val="de-AT"/>
        </w:rPr>
      </w:pPr>
      <w:r w:rsidRPr="00CC2597">
        <w:rPr>
          <w:i/>
          <w:iCs/>
          <w:lang w:val="de-AT"/>
        </w:rPr>
        <w:t>Universität Innsbruck, Institut für Ionenphysik und Angewandte Physik, Technikerstraße 25, 6020 Innsbruck, Austria</w:t>
      </w:r>
    </w:p>
    <w:p w14:paraId="1473D90A" w14:textId="778ABBED" w:rsidR="00484B22" w:rsidRPr="00B74F6E" w:rsidRDefault="00F24941" w:rsidP="00D7157B">
      <w:pPr>
        <w:rPr>
          <w:lang w:val="it-IT"/>
        </w:rPr>
      </w:pPr>
      <w:r w:rsidRPr="00C12E7E">
        <w:rPr>
          <w:i/>
          <w:iCs/>
          <w:lang w:val="it-IT"/>
        </w:rPr>
        <w:t>*</w:t>
      </w:r>
      <w:r w:rsidR="00D7157B" w:rsidRPr="00CC2597">
        <w:rPr>
          <w:i/>
          <w:iCs/>
          <w:lang w:val="it-IT"/>
        </w:rPr>
        <w:t xml:space="preserve">E-mail: </w:t>
      </w:r>
      <w:hyperlink r:id="rId10" w:history="1">
        <w:r w:rsidR="00D7157B" w:rsidRPr="00CC2597">
          <w:rPr>
            <w:rStyle w:val="Hyperlink"/>
            <w:i/>
            <w:iCs/>
            <w:color w:val="auto"/>
            <w:lang w:val="it-IT"/>
          </w:rPr>
          <w:t>martin.beyer@uibk.ac.at</w:t>
        </w:r>
      </w:hyperlink>
    </w:p>
    <w:p w14:paraId="2795CB66" w14:textId="77777777" w:rsidR="0062377A" w:rsidRPr="00B74F6E" w:rsidRDefault="0062377A" w:rsidP="00D7157B">
      <w:pPr>
        <w:rPr>
          <w:lang w:val="it-IT"/>
        </w:rPr>
      </w:pPr>
    </w:p>
    <w:p w14:paraId="171D3865" w14:textId="7D3C4788" w:rsidR="002A4762" w:rsidRDefault="0062377A" w:rsidP="00D7157B">
      <w:r w:rsidRPr="00CC2597">
        <w:t>Hint: This quick st</w:t>
      </w:r>
      <w:r w:rsidR="00B74F6E">
        <w:t>art</w:t>
      </w:r>
      <w:r w:rsidRPr="00CC2597">
        <w:t xml:space="preserve"> guide shows an exemplary use of the AWATAR program. For explanations or information on other usage options, see the User Manual.</w:t>
      </w:r>
    </w:p>
    <w:p w14:paraId="371231DE" w14:textId="18D78DFA" w:rsidR="002A4762" w:rsidRDefault="002A4762" w:rsidP="00D7157B">
      <w:r>
        <w:t xml:space="preserve">To get started with this example calculation, </w:t>
      </w:r>
      <w:r w:rsidRPr="00225A50">
        <w:rPr>
          <w:b/>
          <w:bCs/>
        </w:rPr>
        <w:t>you need</w:t>
      </w:r>
      <w:r>
        <w:t xml:space="preserve"> the </w:t>
      </w:r>
      <w:r w:rsidR="00041CF5">
        <w:t>p</w:t>
      </w:r>
      <w:r>
        <w:t xml:space="preserve">rogram </w:t>
      </w:r>
      <w:r w:rsidRPr="00225A50">
        <w:rPr>
          <w:b/>
          <w:bCs/>
        </w:rPr>
        <w:t>AWATAR_1.0.exe</w:t>
      </w:r>
      <w:r>
        <w:t xml:space="preserve"> and the Gaussian</w:t>
      </w:r>
      <w:r w:rsidR="004828E6">
        <w:t xml:space="preserve"> example</w:t>
      </w:r>
      <w:r>
        <w:t xml:space="preserve"> log</w:t>
      </w:r>
      <w:r w:rsidR="00BE1287">
        <w:t>-</w:t>
      </w:r>
      <w:r>
        <w:t xml:space="preserve">files </w:t>
      </w:r>
      <w:r w:rsidR="004828E6">
        <w:t>“</w:t>
      </w:r>
      <w:r w:rsidR="004828E6" w:rsidRPr="00225A50">
        <w:rPr>
          <w:b/>
          <w:bCs/>
        </w:rPr>
        <w:t>co3.h2o.com.log</w:t>
      </w:r>
      <w:r w:rsidR="004828E6">
        <w:t>”, “</w:t>
      </w:r>
      <w:r w:rsidR="004828E6" w:rsidRPr="00225A50">
        <w:rPr>
          <w:b/>
          <w:bCs/>
        </w:rPr>
        <w:t>co3.com.log</w:t>
      </w:r>
      <w:r w:rsidR="004828E6">
        <w:t>” and “</w:t>
      </w:r>
      <w:r w:rsidR="004828E6" w:rsidRPr="00225A50">
        <w:rPr>
          <w:b/>
          <w:bCs/>
        </w:rPr>
        <w:t>h2o.com.log</w:t>
      </w:r>
      <w:r w:rsidR="004828E6">
        <w:t>”</w:t>
      </w:r>
      <w:r>
        <w:t>:</w:t>
      </w:r>
    </w:p>
    <w:p w14:paraId="554FDF8A" w14:textId="77777777" w:rsidR="002A4762" w:rsidRDefault="002A4762" w:rsidP="00D7157B"/>
    <w:p w14:paraId="44D76339" w14:textId="2FFBBE03" w:rsidR="002A4762" w:rsidRDefault="002A4762" w:rsidP="002A4762">
      <w:pPr>
        <w:pStyle w:val="Listenabsatz"/>
        <w:numPr>
          <w:ilvl w:val="0"/>
          <w:numId w:val="11"/>
        </w:numPr>
      </w:pPr>
      <w:r w:rsidRPr="001C31AA">
        <w:rPr>
          <w:b/>
          <w:bCs/>
        </w:rPr>
        <w:t>Execute</w:t>
      </w:r>
      <w:r>
        <w:t xml:space="preserve"> the </w:t>
      </w:r>
      <w:r w:rsidRPr="001C31AA">
        <w:rPr>
          <w:b/>
          <w:bCs/>
        </w:rPr>
        <w:t>AWATAR_1.0.exe</w:t>
      </w:r>
      <w:r>
        <w:t>. The following window opens:</w:t>
      </w:r>
    </w:p>
    <w:p w14:paraId="5880A84C" w14:textId="2169C1AC" w:rsidR="000D719E" w:rsidRDefault="00D02229" w:rsidP="000D719E">
      <w:r w:rsidRPr="00D02229">
        <w:rPr>
          <w:noProof/>
        </w:rPr>
        <w:drawing>
          <wp:inline distT="0" distB="0" distL="0" distR="0" wp14:anchorId="71379EE6" wp14:editId="7A817CB8">
            <wp:extent cx="5760720" cy="3608070"/>
            <wp:effectExtent l="0" t="0" r="0" b="0"/>
            <wp:docPr id="18781185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18542" name=""/>
                    <pic:cNvPicPr/>
                  </pic:nvPicPr>
                  <pic:blipFill>
                    <a:blip r:embed="rId11"/>
                    <a:stretch>
                      <a:fillRect/>
                    </a:stretch>
                  </pic:blipFill>
                  <pic:spPr>
                    <a:xfrm>
                      <a:off x="0" y="0"/>
                      <a:ext cx="5760720" cy="3608070"/>
                    </a:xfrm>
                    <a:prstGeom prst="rect">
                      <a:avLst/>
                    </a:prstGeom>
                  </pic:spPr>
                </pic:pic>
              </a:graphicData>
            </a:graphic>
          </wp:inline>
        </w:drawing>
      </w:r>
    </w:p>
    <w:p w14:paraId="117F9213" w14:textId="50E687F3" w:rsidR="000D719E" w:rsidRDefault="000D719E" w:rsidP="000D719E">
      <w:pPr>
        <w:pStyle w:val="Listenabsatz"/>
        <w:numPr>
          <w:ilvl w:val="0"/>
          <w:numId w:val="11"/>
        </w:numPr>
      </w:pPr>
      <w:r>
        <w:t xml:space="preserve">Go to the </w:t>
      </w:r>
      <w:r w:rsidR="00041CF5">
        <w:t>p</w:t>
      </w:r>
      <w:r>
        <w:t>anel “</w:t>
      </w:r>
      <w:r w:rsidRPr="00225A50">
        <w:rPr>
          <w:b/>
          <w:bCs/>
        </w:rPr>
        <w:t>Parameters</w:t>
      </w:r>
      <w:r>
        <w:t>”</w:t>
      </w:r>
      <w:r w:rsidR="0030381B">
        <w:t>. In the panel “Parameters”, the user can set all input parameters, by changing the numbers after the keywords. All text after a semicolon is treated as a comment.</w:t>
      </w:r>
      <w:r>
        <w:t xml:space="preserve"> </w:t>
      </w:r>
      <w:r w:rsidR="0030381B">
        <w:t>A</w:t>
      </w:r>
      <w:r>
        <w:t xml:space="preserve">dapt the </w:t>
      </w:r>
      <w:r w:rsidR="00225A50">
        <w:t>“</w:t>
      </w:r>
      <w:r w:rsidRPr="00225A50">
        <w:rPr>
          <w:b/>
          <w:bCs/>
        </w:rPr>
        <w:t>Frequency Scale Factor</w:t>
      </w:r>
      <w:r w:rsidR="00225A50">
        <w:t>”</w:t>
      </w:r>
      <w:r>
        <w:t xml:space="preserve"> to the method and basis set used in the Gaussian calculations. The example log</w:t>
      </w:r>
      <w:r w:rsidR="00BE1287">
        <w:t>-</w:t>
      </w:r>
      <w:r>
        <w:t>files are calculated with CCSD/aug-cc-pVDZ, and according to NIST</w:t>
      </w:r>
      <w:sdt>
        <w:sdtPr>
          <w:alias w:val="To edit, see citavi.com/edit"/>
          <w:tag w:val="CitaviPlaceholder#e5755587-9062-438b-92d0-3a9bd78df273"/>
          <w:id w:val="1417202605"/>
          <w:placeholder>
            <w:docPart w:val="DefaultPlaceholder_-1854013440"/>
          </w:placeholder>
        </w:sdtPr>
        <w:sdtContent>
          <w:r w:rsidR="004F7479">
            <w:fldChar w:fldCharType="begin"/>
          </w:r>
          <w:r w:rsidR="004F747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hZTNlMWFiLTQ0OTAtNDU4MS04ZGMxLWI4Y2M2NTdhNWFhNyIsIlJhbmdlTGVuZ3RoIjoxLCJSZWZlcmVuY2VJZCI6ImQ4OTIzZGYyLWVjN2ItNDM4MS1hMjVlLTU1N2IwNjJkMzYw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jY2NiZGIubmlzdC5nb3Yvdmlic2NhbGVqdXN0LmFzcCIsIlVyaVN0cmluZyI6Imh0dHBzOi8vY2NjYmRiLm5pc3QuZ292L3ZpYnNjYWxlanVzdHguYXN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}</w:instrText>
          </w:r>
          <w:r w:rsidR="004F7479">
            <w:fldChar w:fldCharType="separate"/>
          </w:r>
          <w:r w:rsidR="004F7479" w:rsidRPr="004F7479">
            <w:rPr>
              <w:vertAlign w:val="superscript"/>
            </w:rPr>
            <w:t>1</w:t>
          </w:r>
          <w:r w:rsidR="004F7479">
            <w:fldChar w:fldCharType="end"/>
          </w:r>
        </w:sdtContent>
      </w:sdt>
      <w:r>
        <w:t xml:space="preserve">, the Frequency </w:t>
      </w:r>
      <w:r w:rsidR="00F346EF">
        <w:t>S</w:t>
      </w:r>
      <w:r>
        <w:t xml:space="preserve">cale </w:t>
      </w:r>
      <w:r w:rsidR="00F346EF">
        <w:t>F</w:t>
      </w:r>
      <w:r>
        <w:t xml:space="preserve">actor should therefore be </w:t>
      </w:r>
      <w:r w:rsidRPr="00C134A5">
        <w:rPr>
          <w:b/>
          <w:bCs/>
        </w:rPr>
        <w:t>set to 0.963</w:t>
      </w:r>
      <w:r w:rsidR="0030381B">
        <w:rPr>
          <w:b/>
          <w:bCs/>
        </w:rPr>
        <w:t>.</w:t>
      </w:r>
    </w:p>
    <w:p w14:paraId="30568A33" w14:textId="45B965A8" w:rsidR="000D719E" w:rsidRDefault="00740144" w:rsidP="000D719E">
      <w:r w:rsidRPr="00740144">
        <w:rPr>
          <w:noProof/>
        </w:rPr>
        <w:lastRenderedPageBreak/>
        <w:drawing>
          <wp:inline distT="0" distB="0" distL="0" distR="0" wp14:anchorId="747DAA3B" wp14:editId="28A5618F">
            <wp:extent cx="5760720" cy="3608070"/>
            <wp:effectExtent l="0" t="0" r="0" b="0"/>
            <wp:docPr id="2330728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72871" name=""/>
                    <pic:cNvPicPr/>
                  </pic:nvPicPr>
                  <pic:blipFill>
                    <a:blip r:embed="rId12"/>
                    <a:stretch>
                      <a:fillRect/>
                    </a:stretch>
                  </pic:blipFill>
                  <pic:spPr>
                    <a:xfrm>
                      <a:off x="0" y="0"/>
                      <a:ext cx="5760720" cy="3608070"/>
                    </a:xfrm>
                    <a:prstGeom prst="rect">
                      <a:avLst/>
                    </a:prstGeom>
                  </pic:spPr>
                </pic:pic>
              </a:graphicData>
            </a:graphic>
          </wp:inline>
        </w:drawing>
      </w:r>
    </w:p>
    <w:p w14:paraId="4FE8198B" w14:textId="2D43B084" w:rsidR="000D719E" w:rsidRDefault="000D719E" w:rsidP="000D719E">
      <w:pPr>
        <w:pStyle w:val="Listenabsatz"/>
        <w:numPr>
          <w:ilvl w:val="0"/>
          <w:numId w:val="11"/>
        </w:numPr>
      </w:pPr>
      <w:r>
        <w:t xml:space="preserve">Next, </w:t>
      </w:r>
      <w:r w:rsidR="00C134A5">
        <w:t>we load our</w:t>
      </w:r>
      <w:r>
        <w:t xml:space="preserve"> </w:t>
      </w:r>
      <w:r w:rsidR="00041CF5">
        <w:t>w</w:t>
      </w:r>
      <w:r>
        <w:t>ell</w:t>
      </w:r>
      <w:r w:rsidR="00C134A5">
        <w:t>, the structure and frequency calculation of the CO</w:t>
      </w:r>
      <w:r w:rsidR="00C134A5" w:rsidRPr="00F346EF">
        <w:rPr>
          <w:vertAlign w:val="subscript"/>
        </w:rPr>
        <w:t>3</w:t>
      </w:r>
      <w:r w:rsidR="00C134A5">
        <w:t>(H</w:t>
      </w:r>
      <w:r w:rsidR="00C134A5" w:rsidRPr="00F346EF">
        <w:rPr>
          <w:vertAlign w:val="subscript"/>
        </w:rPr>
        <w:t>2</w:t>
      </w:r>
      <w:r w:rsidR="00C134A5">
        <w:t>O)</w:t>
      </w:r>
      <w:r w:rsidR="00C134A5" w:rsidRPr="00F346EF">
        <w:rPr>
          <w:vertAlign w:val="superscript"/>
        </w:rPr>
        <w:t>-</w:t>
      </w:r>
      <w:r w:rsidR="00C134A5">
        <w:t xml:space="preserve"> molecule</w:t>
      </w:r>
      <w:r>
        <w:t>. Use the button “</w:t>
      </w:r>
      <w:r w:rsidRPr="00C134A5">
        <w:rPr>
          <w:b/>
          <w:bCs/>
        </w:rPr>
        <w:t>Load Well</w:t>
      </w:r>
      <w:r>
        <w:t>” and select the respective Gaussian log</w:t>
      </w:r>
      <w:r w:rsidR="00BE1287">
        <w:t>-</w:t>
      </w:r>
      <w:r>
        <w:t>file (“</w:t>
      </w:r>
      <w:r w:rsidRPr="00C134A5">
        <w:rPr>
          <w:b/>
          <w:bCs/>
        </w:rPr>
        <w:t>co</w:t>
      </w:r>
      <w:r w:rsidR="00C134A5" w:rsidRPr="00C134A5">
        <w:rPr>
          <w:b/>
          <w:bCs/>
        </w:rPr>
        <w:t>3.h2o</w:t>
      </w:r>
      <w:r w:rsidRPr="00C134A5">
        <w:rPr>
          <w:b/>
          <w:bCs/>
        </w:rPr>
        <w:t>.com.log</w:t>
      </w:r>
      <w:r>
        <w:t xml:space="preserve">”). The </w:t>
      </w:r>
      <w:r w:rsidR="00041CF5">
        <w:t>w</w:t>
      </w:r>
      <w:r>
        <w:t>ell is loaded in a new panel, which looks like this:</w:t>
      </w:r>
    </w:p>
    <w:p w14:paraId="7B6FE707" w14:textId="31E49E0A" w:rsidR="000D719E" w:rsidRDefault="00740144" w:rsidP="000D719E">
      <w:pPr>
        <w:ind w:left="360"/>
      </w:pPr>
      <w:r w:rsidRPr="00740144">
        <w:rPr>
          <w:noProof/>
        </w:rPr>
        <w:drawing>
          <wp:inline distT="0" distB="0" distL="0" distR="0" wp14:anchorId="2A8FB535" wp14:editId="739145D7">
            <wp:extent cx="5760720" cy="3608070"/>
            <wp:effectExtent l="0" t="0" r="0" b="0"/>
            <wp:docPr id="8338646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64627" name=""/>
                    <pic:cNvPicPr/>
                  </pic:nvPicPr>
                  <pic:blipFill>
                    <a:blip r:embed="rId13"/>
                    <a:stretch>
                      <a:fillRect/>
                    </a:stretch>
                  </pic:blipFill>
                  <pic:spPr>
                    <a:xfrm>
                      <a:off x="0" y="0"/>
                      <a:ext cx="5760720" cy="3608070"/>
                    </a:xfrm>
                    <a:prstGeom prst="rect">
                      <a:avLst/>
                    </a:prstGeom>
                  </pic:spPr>
                </pic:pic>
              </a:graphicData>
            </a:graphic>
          </wp:inline>
        </w:drawing>
      </w:r>
    </w:p>
    <w:p w14:paraId="67E18563" w14:textId="70F6ADC5" w:rsidR="00792C94" w:rsidRDefault="00792C94" w:rsidP="00792C94">
      <w:pPr>
        <w:ind w:left="851"/>
      </w:pPr>
      <w:r>
        <w:t>This panel contains all information about the well needed for the calculations, namely the</w:t>
      </w:r>
      <w:r w:rsidR="0053554B">
        <w:t xml:space="preserve"> </w:t>
      </w:r>
      <w:r>
        <w:t>vibrational frequencies and infrared intensities, the rotational constants along with the rotational symmetry number,</w:t>
      </w:r>
      <w:r w:rsidR="0053554B">
        <w:t xml:space="preserve"> and</w:t>
      </w:r>
      <w:r>
        <w:t xml:space="preserve"> the energy and degeneracy of the well. </w:t>
      </w:r>
    </w:p>
    <w:p w14:paraId="0835777B" w14:textId="0C9D53E6" w:rsidR="000D719E" w:rsidRDefault="000D719E" w:rsidP="000D719E">
      <w:pPr>
        <w:pStyle w:val="Listenabsatz"/>
        <w:numPr>
          <w:ilvl w:val="0"/>
          <w:numId w:val="11"/>
        </w:numPr>
      </w:pPr>
      <w:r>
        <w:lastRenderedPageBreak/>
        <w:t xml:space="preserve">Now the </w:t>
      </w:r>
      <w:r w:rsidR="00837EA8">
        <w:t>density</w:t>
      </w:r>
      <w:r>
        <w:t xml:space="preserve"> of states can be calculated, using the button “</w:t>
      </w:r>
      <w:r w:rsidR="00837EA8" w:rsidRPr="001C31AA">
        <w:rPr>
          <w:b/>
          <w:bCs/>
        </w:rPr>
        <w:t>Calculate DoS</w:t>
      </w:r>
      <w:r w:rsidR="00837EA8">
        <w:t xml:space="preserve">”. </w:t>
      </w:r>
      <w:r w:rsidR="002964F7">
        <w:t>AWATAR reads all needed information from the panels “Parameters” and “Well 0” and calculates the density of states as described in Ref</w:t>
      </w:r>
      <w:r w:rsidR="00ED047D">
        <w:t xml:space="preserve"> </w:t>
      </w:r>
      <w:sdt>
        <w:sdtPr>
          <w:alias w:val="To edit, see citavi.com/edit"/>
          <w:tag w:val="CitaviPlaceholder#28a2490d-22d5-4b31-8f94-e84ab382fe05"/>
          <w:id w:val="-784571315"/>
          <w:placeholder>
            <w:docPart w:val="DefaultPlaceholder_-1854013440"/>
          </w:placeholder>
        </w:sdtPr>
        <w:sdtContent>
          <w:r w:rsidR="00ED047D" w:rsidRPr="001D17D7">
            <w:fldChar w:fldCharType="begin"/>
          </w:r>
          <w:r w:rsidR="00ED047D" w:rsidRPr="001D17D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yZDAyMzMxLWVmYjctNDRkNC1iYjc3LWU0MDU1OGNmNTI0YyIsIlJhbmdlTGVuZ3RoIjoxLCJSZWZlcmVuY2VJZCI6IjRiODA2NWJkLTNmMDctNDljMi04NjQ3LTYzZDFlZjA2YmVj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}</w:instrText>
          </w:r>
          <w:r w:rsidR="00ED047D" w:rsidRPr="001D17D7">
            <w:fldChar w:fldCharType="separate"/>
          </w:r>
          <w:r w:rsidR="00ED047D" w:rsidRPr="001D17D7">
            <w:t>2</w:t>
          </w:r>
          <w:r w:rsidR="00ED047D" w:rsidRPr="001D17D7">
            <w:fldChar w:fldCharType="end"/>
          </w:r>
        </w:sdtContent>
      </w:sdt>
      <w:r w:rsidR="002964F7" w:rsidRPr="001D17D7">
        <w:t>.</w:t>
      </w:r>
      <w:r w:rsidR="002964F7">
        <w:t xml:space="preserve"> </w:t>
      </w:r>
      <w:r w:rsidR="00837EA8">
        <w:t xml:space="preserve">The results appear in the </w:t>
      </w:r>
      <w:r w:rsidR="00AE16F0">
        <w:t>p</w:t>
      </w:r>
      <w:r w:rsidR="00837EA8">
        <w:t>anel</w:t>
      </w:r>
      <w:r w:rsidR="003F0F22">
        <w:t xml:space="preserve"> “</w:t>
      </w:r>
      <w:r w:rsidR="003F0F22" w:rsidRPr="001C31AA">
        <w:rPr>
          <w:b/>
          <w:bCs/>
        </w:rPr>
        <w:t>Results</w:t>
      </w:r>
      <w:r w:rsidR="003F0F22">
        <w:t>”</w:t>
      </w:r>
      <w:r w:rsidR="00837EA8">
        <w:t xml:space="preserve">. Thereby the density of states of the </w:t>
      </w:r>
      <w:r w:rsidR="00AE16F0">
        <w:t>w</w:t>
      </w:r>
      <w:r w:rsidR="00837EA8">
        <w:t>ell is given as a function of the total energy</w:t>
      </w:r>
      <w:r w:rsidR="00CC11A6">
        <w:t>.</w:t>
      </w:r>
    </w:p>
    <w:p w14:paraId="77470B25" w14:textId="7FA8533A" w:rsidR="00837EA8" w:rsidRDefault="00740144" w:rsidP="00837EA8">
      <w:r w:rsidRPr="00740144">
        <w:rPr>
          <w:noProof/>
        </w:rPr>
        <w:drawing>
          <wp:inline distT="0" distB="0" distL="0" distR="0" wp14:anchorId="778DE336" wp14:editId="5053E5B9">
            <wp:extent cx="5760720" cy="3608070"/>
            <wp:effectExtent l="0" t="0" r="0" b="0"/>
            <wp:docPr id="6323590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59064" name=""/>
                    <pic:cNvPicPr/>
                  </pic:nvPicPr>
                  <pic:blipFill>
                    <a:blip r:embed="rId14"/>
                    <a:stretch>
                      <a:fillRect/>
                    </a:stretch>
                  </pic:blipFill>
                  <pic:spPr>
                    <a:xfrm>
                      <a:off x="0" y="0"/>
                      <a:ext cx="5760720" cy="3608070"/>
                    </a:xfrm>
                    <a:prstGeom prst="rect">
                      <a:avLst/>
                    </a:prstGeom>
                  </pic:spPr>
                </pic:pic>
              </a:graphicData>
            </a:graphic>
          </wp:inline>
        </w:drawing>
      </w:r>
    </w:p>
    <w:p w14:paraId="09006CB9" w14:textId="1F2EBE6C" w:rsidR="00881DCD" w:rsidRDefault="00881DCD" w:rsidP="0053554B">
      <w:pPr>
        <w:ind w:left="851"/>
      </w:pPr>
      <w:r>
        <w:t xml:space="preserve">Next, we want to load a loose </w:t>
      </w:r>
      <w:r w:rsidR="00F346EF">
        <w:t>t</w:t>
      </w:r>
      <w:r>
        <w:t xml:space="preserve">ransition </w:t>
      </w:r>
      <w:r w:rsidR="00F346EF">
        <w:t>s</w:t>
      </w:r>
      <w:r>
        <w:t>tate. Use the button “</w:t>
      </w:r>
      <w:r w:rsidRPr="00F346EF">
        <w:rPr>
          <w:b/>
          <w:bCs/>
        </w:rPr>
        <w:t>Load loose TS Fragment 1</w:t>
      </w:r>
      <w:r>
        <w:t>” and choose the Gaussian log</w:t>
      </w:r>
      <w:r w:rsidR="00BE1287">
        <w:t>-</w:t>
      </w:r>
      <w:r>
        <w:t xml:space="preserve">file of the first </w:t>
      </w:r>
      <w:r w:rsidR="00AE16F0">
        <w:t>f</w:t>
      </w:r>
      <w:r>
        <w:t>ragment, “</w:t>
      </w:r>
      <w:r w:rsidRPr="00F346EF">
        <w:rPr>
          <w:b/>
          <w:bCs/>
        </w:rPr>
        <w:t>co3.com.log</w:t>
      </w:r>
      <w:r>
        <w:t>”. A new panel called “TS</w:t>
      </w:r>
      <w:r w:rsidR="00F346EF">
        <w:t> </w:t>
      </w:r>
      <w:r>
        <w:t>0” appears</w:t>
      </w:r>
      <w:r w:rsidR="0053554B">
        <w:t>. Again, this panel</w:t>
      </w:r>
      <w:r w:rsidR="00792C94">
        <w:t xml:space="preserve"> contain</w:t>
      </w:r>
      <w:r w:rsidR="0053554B">
        <w:t>s</w:t>
      </w:r>
      <w:r w:rsidR="00792C94">
        <w:t xml:space="preserve"> all information</w:t>
      </w:r>
      <w:r w:rsidR="002964F7">
        <w:t xml:space="preserve"> about the first fragment which </w:t>
      </w:r>
      <w:r w:rsidR="00792C94">
        <w:t xml:space="preserve">AWATAR </w:t>
      </w:r>
      <w:r w:rsidR="002964F7">
        <w:t>will need</w:t>
      </w:r>
      <w:r w:rsidR="00792C94">
        <w:t xml:space="preserve"> for calculations</w:t>
      </w:r>
      <w:r w:rsidR="0053554B">
        <w:t>,</w:t>
      </w:r>
      <w:r w:rsidR="0053554B" w:rsidRPr="0053554B">
        <w:t xml:space="preserve"> </w:t>
      </w:r>
      <w:r w:rsidR="0053554B">
        <w:t>namely the vibrational frequencies</w:t>
      </w:r>
      <w:r w:rsidR="00830D1C">
        <w:t>,</w:t>
      </w:r>
      <w:r w:rsidR="0053554B">
        <w:t xml:space="preserve"> the rotational constants</w:t>
      </w:r>
      <w:r w:rsidR="00716AF3">
        <w:t>,</w:t>
      </w:r>
      <w:r w:rsidR="0053554B">
        <w:t xml:space="preserve"> the rotational symmetry number, and the energy and degeneracy</w:t>
      </w:r>
      <w:r>
        <w:t>:</w:t>
      </w:r>
    </w:p>
    <w:p w14:paraId="01194C8A" w14:textId="06F5A499" w:rsidR="00881DCD" w:rsidRDefault="00740144" w:rsidP="00881DCD">
      <w:r w:rsidRPr="00740144">
        <w:rPr>
          <w:noProof/>
        </w:rPr>
        <w:lastRenderedPageBreak/>
        <w:drawing>
          <wp:inline distT="0" distB="0" distL="0" distR="0" wp14:anchorId="18B83390" wp14:editId="2C57531E">
            <wp:extent cx="5760720" cy="3608070"/>
            <wp:effectExtent l="0" t="0" r="0" b="0"/>
            <wp:docPr id="20517467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46761" name=""/>
                    <pic:cNvPicPr/>
                  </pic:nvPicPr>
                  <pic:blipFill>
                    <a:blip r:embed="rId15"/>
                    <a:stretch>
                      <a:fillRect/>
                    </a:stretch>
                  </pic:blipFill>
                  <pic:spPr>
                    <a:xfrm>
                      <a:off x="0" y="0"/>
                      <a:ext cx="5760720" cy="3608070"/>
                    </a:xfrm>
                    <a:prstGeom prst="rect">
                      <a:avLst/>
                    </a:prstGeom>
                  </pic:spPr>
                </pic:pic>
              </a:graphicData>
            </a:graphic>
          </wp:inline>
        </w:drawing>
      </w:r>
    </w:p>
    <w:p w14:paraId="2AF2B5C0" w14:textId="206351A2" w:rsidR="00881DCD" w:rsidRDefault="00881DCD" w:rsidP="00881DCD">
      <w:pPr>
        <w:pStyle w:val="Listenabsatz"/>
        <w:numPr>
          <w:ilvl w:val="0"/>
          <w:numId w:val="11"/>
        </w:numPr>
      </w:pPr>
      <w:r>
        <w:t xml:space="preserve">Next, the second fragment </w:t>
      </w:r>
      <w:r w:rsidR="00F346EF">
        <w:t>(H</w:t>
      </w:r>
      <w:r w:rsidR="00F346EF" w:rsidRPr="00FA5ADE">
        <w:rPr>
          <w:vertAlign w:val="subscript"/>
        </w:rPr>
        <w:t>2</w:t>
      </w:r>
      <w:r w:rsidR="00F346EF">
        <w:t xml:space="preserve">O) </w:t>
      </w:r>
      <w:r>
        <w:t>has to be added. Therefore</w:t>
      </w:r>
      <w:r w:rsidR="00B36B4F">
        <w:t>,</w:t>
      </w:r>
      <w:r>
        <w:t xml:space="preserve"> </w:t>
      </w:r>
      <w:r w:rsidR="00054C00">
        <w:t>make sure</w:t>
      </w:r>
      <w:r>
        <w:t xml:space="preserve"> to</w:t>
      </w:r>
      <w:r w:rsidR="00054C00">
        <w:t xml:space="preserve"> be in</w:t>
      </w:r>
      <w:r>
        <w:t xml:space="preserve"> the panel “TS</w:t>
      </w:r>
      <w:r w:rsidR="00054C00">
        <w:t> </w:t>
      </w:r>
      <w:r>
        <w:t>0 “, then use the button “</w:t>
      </w:r>
      <w:r w:rsidRPr="00FA5ADE">
        <w:rPr>
          <w:b/>
          <w:bCs/>
        </w:rPr>
        <w:t>Add loose TS Fragment 2</w:t>
      </w:r>
      <w:r>
        <w:t>”, and choose the Gaussian log-file of the second fragment, “</w:t>
      </w:r>
      <w:r w:rsidRPr="00FA5ADE">
        <w:rPr>
          <w:b/>
          <w:bCs/>
        </w:rPr>
        <w:t>h2</w:t>
      </w:r>
      <w:r w:rsidR="001C31AA" w:rsidRPr="00FA5ADE">
        <w:rPr>
          <w:b/>
          <w:bCs/>
        </w:rPr>
        <w:t>o</w:t>
      </w:r>
      <w:r w:rsidRPr="00FA5ADE">
        <w:rPr>
          <w:b/>
          <w:bCs/>
        </w:rPr>
        <w:t>.com.log</w:t>
      </w:r>
      <w:r>
        <w:t>”. With this, the information regarding the second fragment is added to panel “TS 0”:</w:t>
      </w:r>
    </w:p>
    <w:p w14:paraId="460AF6CE" w14:textId="7D89107D" w:rsidR="00881DCD" w:rsidRDefault="00483A69" w:rsidP="003F0F22">
      <w:r w:rsidRPr="00483A69">
        <w:rPr>
          <w:noProof/>
        </w:rPr>
        <w:drawing>
          <wp:inline distT="0" distB="0" distL="0" distR="0" wp14:anchorId="0E4A9655" wp14:editId="17006FA9">
            <wp:extent cx="5760720" cy="3608070"/>
            <wp:effectExtent l="0" t="0" r="0" b="0"/>
            <wp:docPr id="7066231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23185" name=""/>
                    <pic:cNvPicPr/>
                  </pic:nvPicPr>
                  <pic:blipFill>
                    <a:blip r:embed="rId16"/>
                    <a:stretch>
                      <a:fillRect/>
                    </a:stretch>
                  </pic:blipFill>
                  <pic:spPr>
                    <a:xfrm>
                      <a:off x="0" y="0"/>
                      <a:ext cx="5760720" cy="3608070"/>
                    </a:xfrm>
                    <a:prstGeom prst="rect">
                      <a:avLst/>
                    </a:prstGeom>
                  </pic:spPr>
                </pic:pic>
              </a:graphicData>
            </a:graphic>
          </wp:inline>
        </w:drawing>
      </w:r>
    </w:p>
    <w:p w14:paraId="55A7D365" w14:textId="2B67E456" w:rsidR="00881DCD" w:rsidRDefault="00881DCD" w:rsidP="00881DCD">
      <w:pPr>
        <w:pStyle w:val="Listenabsatz"/>
        <w:numPr>
          <w:ilvl w:val="0"/>
          <w:numId w:val="11"/>
        </w:numPr>
      </w:pPr>
      <w:r>
        <w:t xml:space="preserve">Now the </w:t>
      </w:r>
      <w:r w:rsidR="00FA5ADE">
        <w:t>s</w:t>
      </w:r>
      <w:r>
        <w:t xml:space="preserve">um of </w:t>
      </w:r>
      <w:r w:rsidR="00FA5ADE">
        <w:t>s</w:t>
      </w:r>
      <w:r>
        <w:t xml:space="preserve">tates of the loaded </w:t>
      </w:r>
      <w:r w:rsidR="00FA5ADE">
        <w:t>t</w:t>
      </w:r>
      <w:r>
        <w:t xml:space="preserve">ransition </w:t>
      </w:r>
      <w:r w:rsidR="00FA5ADE">
        <w:t>s</w:t>
      </w:r>
      <w:r>
        <w:t>tate can be calculated using the button “</w:t>
      </w:r>
      <w:r w:rsidR="008833F4" w:rsidRPr="00FA5ADE">
        <w:rPr>
          <w:b/>
          <w:bCs/>
        </w:rPr>
        <w:t>Calculate SoS</w:t>
      </w:r>
      <w:r w:rsidR="008833F4">
        <w:t>”</w:t>
      </w:r>
      <w:r w:rsidR="003F0F22">
        <w:t>.</w:t>
      </w:r>
      <w:r w:rsidR="002A38E1">
        <w:t xml:space="preserve"> AWATAR then reads the information from the panel “Parameters”, “TS 0” and “Well 0”. It calculates the relative energy of the transition state compared to the global minimum (in this case “Well 0”), and then determines the sum of states as described in Ref </w:t>
      </w:r>
      <w:sdt>
        <w:sdtPr>
          <w:alias w:val="To edit, see citavi.com/edit"/>
          <w:tag w:val="CitaviPlaceholder#ab586a0f-6fc5-4b99-a816-b46fde125cb6"/>
          <w:id w:val="948814320"/>
          <w:placeholder>
            <w:docPart w:val="DefaultPlaceholder_-1854013440"/>
          </w:placeholder>
        </w:sdtPr>
        <w:sdtContent>
          <w:r w:rsidR="001D17D7" w:rsidRPr="001D17D7">
            <w:fldChar w:fldCharType="begin"/>
          </w:r>
          <w:r w:rsidR="001D17D7" w:rsidRPr="001D17D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4NTQwNDJiLTUwYjAtNDdlNC05YWFiLWYxOGEzYmMwMGVkYyIsIlJhbmdlTGVuZ3RoIjoxLCJSZWZlcmVuY2VJZCI6IjRiODA2NWJkLTNmMDctNDljMi04NjQ3LTYzZDFlZjA2YmVj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}</w:instrText>
          </w:r>
          <w:r w:rsidR="001D17D7" w:rsidRPr="001D17D7">
            <w:fldChar w:fldCharType="separate"/>
          </w:r>
          <w:r w:rsidR="001D17D7" w:rsidRPr="001D17D7">
            <w:t>2</w:t>
          </w:r>
          <w:r w:rsidR="001D17D7" w:rsidRPr="001D17D7">
            <w:fldChar w:fldCharType="end"/>
          </w:r>
        </w:sdtContent>
      </w:sdt>
      <w:r w:rsidR="002A38E1">
        <w:t xml:space="preserve">. </w:t>
      </w:r>
      <w:r w:rsidR="00F06200">
        <w:lastRenderedPageBreak/>
        <w:t>The result</w:t>
      </w:r>
      <w:r w:rsidR="00716AF3">
        <w:t xml:space="preserve">s </w:t>
      </w:r>
      <w:r w:rsidR="003F0F22">
        <w:t>appear in the panel “Results”</w:t>
      </w:r>
      <w:r w:rsidR="00F06200">
        <w:t xml:space="preserve"> in dependence of the energy, whereby the global minimum defines the zero of the energy</w:t>
      </w:r>
      <w:r w:rsidR="00C62B1C">
        <w:t xml:space="preserve"> scale</w:t>
      </w:r>
      <w:r w:rsidR="009C457A">
        <w:t>. Note that the sum of states is zero for the lower energies and starts to rise above the energy of the transition state.</w:t>
      </w:r>
    </w:p>
    <w:p w14:paraId="5118D589" w14:textId="2C9BA449" w:rsidR="003F0F22" w:rsidRDefault="00483A69" w:rsidP="003F0F22">
      <w:r w:rsidRPr="00483A69">
        <w:rPr>
          <w:noProof/>
        </w:rPr>
        <w:drawing>
          <wp:inline distT="0" distB="0" distL="0" distR="0" wp14:anchorId="69FA4F72" wp14:editId="0E7ADDCC">
            <wp:extent cx="5760720" cy="3608070"/>
            <wp:effectExtent l="0" t="0" r="0" b="0"/>
            <wp:docPr id="1319032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3289" name=""/>
                    <pic:cNvPicPr/>
                  </pic:nvPicPr>
                  <pic:blipFill>
                    <a:blip r:embed="rId17"/>
                    <a:stretch>
                      <a:fillRect/>
                    </a:stretch>
                  </pic:blipFill>
                  <pic:spPr>
                    <a:xfrm>
                      <a:off x="0" y="0"/>
                      <a:ext cx="5760720" cy="3608070"/>
                    </a:xfrm>
                    <a:prstGeom prst="rect">
                      <a:avLst/>
                    </a:prstGeom>
                  </pic:spPr>
                </pic:pic>
              </a:graphicData>
            </a:graphic>
          </wp:inline>
        </w:drawing>
      </w:r>
    </w:p>
    <w:p w14:paraId="1D66FFA2" w14:textId="765AEB6B" w:rsidR="003F0F22" w:rsidRDefault="003F0F22" w:rsidP="003F0F22">
      <w:pPr>
        <w:pStyle w:val="Listenabsatz"/>
        <w:numPr>
          <w:ilvl w:val="0"/>
          <w:numId w:val="11"/>
        </w:numPr>
      </w:pPr>
      <w:r>
        <w:t xml:space="preserve">Next, we want to calculate </w:t>
      </w:r>
      <w:r w:rsidRPr="00FA5ADE">
        <w:rPr>
          <w:b/>
          <w:bCs/>
        </w:rPr>
        <w:t>RRKM rate</w:t>
      </w:r>
      <w:r w:rsidR="005447C3">
        <w:rPr>
          <w:b/>
          <w:bCs/>
        </w:rPr>
        <w:t xml:space="preserve"> constant</w:t>
      </w:r>
      <w:r w:rsidRPr="00FA5ADE">
        <w:rPr>
          <w:b/>
          <w:bCs/>
        </w:rPr>
        <w:t>s</w:t>
      </w:r>
      <w:r>
        <w:t xml:space="preserve">: Therefore, we have a look at the panel “Parameters”, specifically the section “Reaction channels”: </w:t>
      </w:r>
    </w:p>
    <w:p w14:paraId="61994EE4" w14:textId="650E8A70" w:rsidR="003F0F22" w:rsidRDefault="00483A69" w:rsidP="003F0F22">
      <w:pPr>
        <w:ind w:left="360"/>
      </w:pPr>
      <w:r w:rsidRPr="00483A69">
        <w:rPr>
          <w:noProof/>
        </w:rPr>
        <w:drawing>
          <wp:inline distT="0" distB="0" distL="0" distR="0" wp14:anchorId="79E1E9B0" wp14:editId="1574B5E1">
            <wp:extent cx="5760720" cy="3608070"/>
            <wp:effectExtent l="0" t="0" r="0" b="0"/>
            <wp:docPr id="20616428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42826" name=""/>
                    <pic:cNvPicPr/>
                  </pic:nvPicPr>
                  <pic:blipFill>
                    <a:blip r:embed="rId18"/>
                    <a:stretch>
                      <a:fillRect/>
                    </a:stretch>
                  </pic:blipFill>
                  <pic:spPr>
                    <a:xfrm>
                      <a:off x="0" y="0"/>
                      <a:ext cx="5760720" cy="3608070"/>
                    </a:xfrm>
                    <a:prstGeom prst="rect">
                      <a:avLst/>
                    </a:prstGeom>
                  </pic:spPr>
                </pic:pic>
              </a:graphicData>
            </a:graphic>
          </wp:inline>
        </w:drawing>
      </w:r>
    </w:p>
    <w:p w14:paraId="7A426735" w14:textId="72D3FF7A" w:rsidR="003F0F22" w:rsidRDefault="00B803A7" w:rsidP="00441BEA">
      <w:pPr>
        <w:ind w:left="360"/>
        <w:jc w:val="both"/>
      </w:pPr>
      <w:r>
        <w:t>The default channel is “</w:t>
      </w:r>
      <w:r w:rsidRPr="00FA5ADE">
        <w:rPr>
          <w:b/>
          <w:bCs/>
        </w:rPr>
        <w:t>Channel 0 Well all TS all</w:t>
      </w:r>
      <w:r>
        <w:t xml:space="preserve">” which means, that the </w:t>
      </w:r>
      <w:r w:rsidR="00923F47">
        <w:t>RRKM</w:t>
      </w:r>
      <w:r w:rsidR="00FA5ADE">
        <w:t xml:space="preserve"> </w:t>
      </w:r>
      <w:r>
        <w:t>rate</w:t>
      </w:r>
      <w:r w:rsidR="005447C3">
        <w:t xml:space="preserve"> constant</w:t>
      </w:r>
      <w:r>
        <w:t xml:space="preserve">s are calculated using the density of states of all loaded wells and the sum of states of all loaded </w:t>
      </w:r>
      <w:r>
        <w:lastRenderedPageBreak/>
        <w:t>transition states. Other possible channel definitions are inactive, as the other lines start with a semicolon “;” and all text after semicolons is treated as a comment by the program. For our example calculation, we just use the default settings and do not change the panel “Parameters”. Click on the button “</w:t>
      </w:r>
      <w:r w:rsidRPr="00FA5ADE">
        <w:rPr>
          <w:b/>
          <w:bCs/>
        </w:rPr>
        <w:t>RRKM</w:t>
      </w:r>
      <w:r w:rsidR="00FA5ADE" w:rsidRPr="00FA5ADE">
        <w:rPr>
          <w:b/>
          <w:bCs/>
        </w:rPr>
        <w:t xml:space="preserve"> R</w:t>
      </w:r>
      <w:r w:rsidRPr="00FA5ADE">
        <w:rPr>
          <w:b/>
          <w:bCs/>
        </w:rPr>
        <w:t>ate</w:t>
      </w:r>
      <w:r w:rsidR="00410875">
        <w:rPr>
          <w:b/>
          <w:bCs/>
        </w:rPr>
        <w:t xml:space="preserve"> Constants</w:t>
      </w:r>
      <w:r>
        <w:t xml:space="preserve">”, and the results of the calculation are again written to the </w:t>
      </w:r>
      <w:r w:rsidR="00FA5ADE">
        <w:t>p</w:t>
      </w:r>
      <w:r>
        <w:t>anel “Results”:</w:t>
      </w:r>
    </w:p>
    <w:p w14:paraId="5CB2D849" w14:textId="1F87872D" w:rsidR="00B803A7" w:rsidRDefault="00483A69" w:rsidP="003F0F22">
      <w:pPr>
        <w:ind w:left="360"/>
      </w:pPr>
      <w:r w:rsidRPr="00483A69">
        <w:rPr>
          <w:noProof/>
        </w:rPr>
        <w:drawing>
          <wp:inline distT="0" distB="0" distL="0" distR="0" wp14:anchorId="2D598777" wp14:editId="240854CD">
            <wp:extent cx="5760720" cy="3608070"/>
            <wp:effectExtent l="0" t="0" r="0" b="0"/>
            <wp:docPr id="16389958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95855" name=""/>
                    <pic:cNvPicPr/>
                  </pic:nvPicPr>
                  <pic:blipFill>
                    <a:blip r:embed="rId19"/>
                    <a:stretch>
                      <a:fillRect/>
                    </a:stretch>
                  </pic:blipFill>
                  <pic:spPr>
                    <a:xfrm>
                      <a:off x="0" y="0"/>
                      <a:ext cx="5760720" cy="3608070"/>
                    </a:xfrm>
                    <a:prstGeom prst="rect">
                      <a:avLst/>
                    </a:prstGeom>
                  </pic:spPr>
                </pic:pic>
              </a:graphicData>
            </a:graphic>
          </wp:inline>
        </w:drawing>
      </w:r>
    </w:p>
    <w:p w14:paraId="6FFD75D3" w14:textId="4BDB55B1" w:rsidR="00B803A7" w:rsidRDefault="00B803A7" w:rsidP="003F0F22">
      <w:pPr>
        <w:ind w:left="360"/>
      </w:pPr>
      <w:r>
        <w:t xml:space="preserve">Note, that the </w:t>
      </w:r>
      <w:r w:rsidR="00923F47">
        <w:t>RRKM</w:t>
      </w:r>
      <w:r w:rsidR="006116B6">
        <w:t xml:space="preserve"> </w:t>
      </w:r>
      <w:r>
        <w:t>rate</w:t>
      </w:r>
      <w:r w:rsidR="005447C3">
        <w:t xml:space="preserve"> constant</w:t>
      </w:r>
      <w:r>
        <w:t>s</w:t>
      </w:r>
      <w:r w:rsidR="006116B6">
        <w:t xml:space="preserve"> (</w:t>
      </w:r>
      <w:r w:rsidR="003D50F6">
        <w:t>second</w:t>
      </w:r>
      <w:r w:rsidR="006116B6">
        <w:t xml:space="preserve"> row)</w:t>
      </w:r>
      <w:r>
        <w:t xml:space="preserve"> are </w:t>
      </w:r>
      <w:r w:rsidR="00D7297D">
        <w:t xml:space="preserve">zero </w:t>
      </w:r>
      <w:r w:rsidR="00923F47">
        <w:t xml:space="preserve">for all energies </w:t>
      </w:r>
      <w:r w:rsidR="00D7297D">
        <w:t>below the activation energy</w:t>
      </w:r>
      <w:r w:rsidR="00923F47">
        <w:t xml:space="preserve"> and rise fast above it.</w:t>
      </w:r>
    </w:p>
    <w:p w14:paraId="6BC2AF53" w14:textId="5775645F" w:rsidR="00911E0A" w:rsidRDefault="00EE4763" w:rsidP="00642DCA">
      <w:pPr>
        <w:pStyle w:val="Listenabsatz"/>
        <w:numPr>
          <w:ilvl w:val="0"/>
          <w:numId w:val="11"/>
        </w:numPr>
        <w:ind w:left="360"/>
      </w:pPr>
      <w:r>
        <w:t xml:space="preserve">Finally, we want to </w:t>
      </w:r>
      <w:r w:rsidRPr="00A64FF6">
        <w:rPr>
          <w:b/>
          <w:bCs/>
        </w:rPr>
        <w:t>perform MEM</w:t>
      </w:r>
      <w:r>
        <w:t xml:space="preserve">. As an example, we calculate real time MEM for BIRD-conditions, with no IRMPD source. Let’s have a look at </w:t>
      </w:r>
      <w:r w:rsidRPr="00A64FF6">
        <w:t>the</w:t>
      </w:r>
      <w:r w:rsidRPr="00A64FF6">
        <w:rPr>
          <w:b/>
          <w:bCs/>
        </w:rPr>
        <w:t xml:space="preserve"> Definitions for Master Equation Modelling (MEM)</w:t>
      </w:r>
      <w:r>
        <w:t xml:space="preserve"> in the panel</w:t>
      </w:r>
      <w:r w:rsidR="005E5701">
        <w:t xml:space="preserve"> “Parameters”</w:t>
      </w:r>
      <w:r>
        <w:t>:</w:t>
      </w:r>
      <w:r w:rsidR="00911E0A">
        <w:t xml:space="preserve"> The BIRD parameters define the temperature of the environment. The default is, to perform MEM for 3 different </w:t>
      </w:r>
      <w:r w:rsidR="002D5436">
        <w:t>environment-</w:t>
      </w:r>
      <w:r w:rsidR="00911E0A">
        <w:t xml:space="preserve">temperatures between 200 K and 300 K. Let’s say, we want to </w:t>
      </w:r>
      <w:r w:rsidR="00681987">
        <w:t xml:space="preserve">perform MEM </w:t>
      </w:r>
      <w:r w:rsidR="00911E0A">
        <w:t>just for one temperature of the environment (300 K), so we change the “Number of temperatures in loop” to 1</w:t>
      </w:r>
      <w:r w:rsidR="00681987">
        <w:t xml:space="preserve"> and</w:t>
      </w:r>
      <w:r w:rsidR="0091066E">
        <w:t xml:space="preserve"> activate the line starting with “Manual list for temperatures in loop” by removing the semicolon in front of it. Instead of the three example numbers, write 300, as 300 K is the temperature of our environment. </w:t>
      </w:r>
      <w:r w:rsidR="00681987">
        <w:t>IRMPD is per default inactive, so there is no need to change anything there. In the “Real time MEM parameters</w:t>
      </w:r>
      <w:r w:rsidR="00A64FF6">
        <w:t>”</w:t>
      </w:r>
      <w:r w:rsidR="00681987">
        <w:t xml:space="preserve">, we can set the initial temperature of the molecules to for example </w:t>
      </w:r>
      <w:r w:rsidR="00142428">
        <w:t>3</w:t>
      </w:r>
      <w:r w:rsidR="00681987">
        <w:t>50 K.</w:t>
      </w:r>
    </w:p>
    <w:p w14:paraId="59A46963" w14:textId="46C31995" w:rsidR="00681987" w:rsidRDefault="00483A69" w:rsidP="00911E0A">
      <w:r w:rsidRPr="00483A69">
        <w:rPr>
          <w:noProof/>
        </w:rPr>
        <w:lastRenderedPageBreak/>
        <w:drawing>
          <wp:inline distT="0" distB="0" distL="0" distR="0" wp14:anchorId="45B94FC8" wp14:editId="4FEBC5C0">
            <wp:extent cx="5760720" cy="3608070"/>
            <wp:effectExtent l="0" t="0" r="0" b="0"/>
            <wp:docPr id="14771760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76089" name=""/>
                    <pic:cNvPicPr/>
                  </pic:nvPicPr>
                  <pic:blipFill>
                    <a:blip r:embed="rId20"/>
                    <a:stretch>
                      <a:fillRect/>
                    </a:stretch>
                  </pic:blipFill>
                  <pic:spPr>
                    <a:xfrm>
                      <a:off x="0" y="0"/>
                      <a:ext cx="5760720" cy="3608070"/>
                    </a:xfrm>
                    <a:prstGeom prst="rect">
                      <a:avLst/>
                    </a:prstGeom>
                  </pic:spPr>
                </pic:pic>
              </a:graphicData>
            </a:graphic>
          </wp:inline>
        </w:drawing>
      </w:r>
      <w:r w:rsidR="00EE4763">
        <w:t xml:space="preserve"> </w:t>
      </w:r>
    </w:p>
    <w:p w14:paraId="33606BDA" w14:textId="6C66C5F1" w:rsidR="002D5436" w:rsidRDefault="002D5436" w:rsidP="002D5436">
      <w:pPr>
        <w:pStyle w:val="Listenabsatz"/>
        <w:numPr>
          <w:ilvl w:val="0"/>
          <w:numId w:val="11"/>
        </w:numPr>
      </w:pPr>
      <w:r>
        <w:t>Now click on the Button “</w:t>
      </w:r>
      <w:r w:rsidRPr="00D12C57">
        <w:rPr>
          <w:b/>
          <w:bCs/>
        </w:rPr>
        <w:t>Start MEM</w:t>
      </w:r>
      <w:r>
        <w:t xml:space="preserve">” to simulate how a population of molecules with initially </w:t>
      </w:r>
      <w:r w:rsidR="00142428">
        <w:t>3</w:t>
      </w:r>
      <w:r>
        <w:t>50 K decays in a 300 K</w:t>
      </w:r>
      <w:r w:rsidR="00142428">
        <w:t xml:space="preserve"> environment</w:t>
      </w:r>
      <w:r>
        <w:t>.</w:t>
      </w:r>
    </w:p>
    <w:p w14:paraId="1EE76CD9" w14:textId="3FD915CD" w:rsidR="002D5436" w:rsidRDefault="002D5436" w:rsidP="007A7AA1">
      <w:r>
        <w:t>An additional console window opens, showing the progress of the calculation:</w:t>
      </w:r>
      <w:r w:rsidR="00E0019D" w:rsidRPr="00E0019D">
        <w:rPr>
          <w:noProof/>
        </w:rPr>
        <w:t xml:space="preserve"> </w:t>
      </w:r>
      <w:r w:rsidR="0087633C" w:rsidRPr="0087633C">
        <w:rPr>
          <w:noProof/>
        </w:rPr>
        <w:drawing>
          <wp:inline distT="0" distB="0" distL="0" distR="0" wp14:anchorId="062621EF" wp14:editId="1E61FDAA">
            <wp:extent cx="5760720" cy="3335020"/>
            <wp:effectExtent l="0" t="0" r="0" b="0"/>
            <wp:docPr id="14836537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3746" name=""/>
                    <pic:cNvPicPr/>
                  </pic:nvPicPr>
                  <pic:blipFill>
                    <a:blip r:embed="rId21"/>
                    <a:stretch>
                      <a:fillRect/>
                    </a:stretch>
                  </pic:blipFill>
                  <pic:spPr>
                    <a:xfrm>
                      <a:off x="0" y="0"/>
                      <a:ext cx="5760720" cy="3335020"/>
                    </a:xfrm>
                    <a:prstGeom prst="rect">
                      <a:avLst/>
                    </a:prstGeom>
                  </pic:spPr>
                </pic:pic>
              </a:graphicData>
            </a:graphic>
          </wp:inline>
        </w:drawing>
      </w:r>
    </w:p>
    <w:p w14:paraId="17C91648" w14:textId="3028D40D" w:rsidR="002D5436" w:rsidRDefault="002D5436" w:rsidP="00911E0A">
      <w:r>
        <w:t>Once the calculation is finished, you find the results again in the panel “Results”:</w:t>
      </w:r>
    </w:p>
    <w:p w14:paraId="746E7231" w14:textId="00E6089A" w:rsidR="00EB635C" w:rsidRDefault="0087633C" w:rsidP="00911E0A">
      <w:r w:rsidRPr="0087633C">
        <w:rPr>
          <w:noProof/>
        </w:rPr>
        <w:lastRenderedPageBreak/>
        <w:drawing>
          <wp:inline distT="0" distB="0" distL="0" distR="0" wp14:anchorId="13E4A695" wp14:editId="7295E0D6">
            <wp:extent cx="5760720" cy="3608070"/>
            <wp:effectExtent l="0" t="0" r="0" b="0"/>
            <wp:docPr id="892792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9220" name=""/>
                    <pic:cNvPicPr/>
                  </pic:nvPicPr>
                  <pic:blipFill>
                    <a:blip r:embed="rId22"/>
                    <a:stretch>
                      <a:fillRect/>
                    </a:stretch>
                  </pic:blipFill>
                  <pic:spPr>
                    <a:xfrm>
                      <a:off x="0" y="0"/>
                      <a:ext cx="5760720" cy="3608070"/>
                    </a:xfrm>
                    <a:prstGeom prst="rect">
                      <a:avLst/>
                    </a:prstGeom>
                  </pic:spPr>
                </pic:pic>
              </a:graphicData>
            </a:graphic>
          </wp:inline>
        </w:drawing>
      </w:r>
    </w:p>
    <w:p w14:paraId="5B5BDD93" w14:textId="7ADF7696" w:rsidR="00EB635C" w:rsidRDefault="00EB635C" w:rsidP="00911E0A">
      <w:bookmarkStart w:id="1" w:name="_Hlk191970907"/>
      <w:r>
        <w:t xml:space="preserve">The first row gives the time in seconds. The second row is the amount of reactant still intact at the given time. The third row is the </w:t>
      </w:r>
      <w:r w:rsidR="00225383">
        <w:t xml:space="preserve">amount of product formed in the respective channel, </w:t>
      </w:r>
      <w:r>
        <w:t xml:space="preserve">and the fourth </w:t>
      </w:r>
      <w:r w:rsidR="0004138D">
        <w:t xml:space="preserve">row is </w:t>
      </w:r>
      <w:r>
        <w:t xml:space="preserve">the </w:t>
      </w:r>
      <w:r w:rsidR="0004138D">
        <w:t>m</w:t>
      </w:r>
      <w:r>
        <w:t xml:space="preserve">ean </w:t>
      </w:r>
      <w:r w:rsidR="0004138D">
        <w:t>e</w:t>
      </w:r>
      <w:r>
        <w:t xml:space="preserve">nergy of the population. </w:t>
      </w:r>
      <w:bookmarkEnd w:id="1"/>
      <w:r>
        <w:t>One can see that the mean energy falls. This is due to the cooling to a lower temperature environment and due to the dissociation of the high energy part of the po</w:t>
      </w:r>
      <w:r w:rsidR="0004138D">
        <w:t>pu</w:t>
      </w:r>
      <w:r>
        <w:t>lation</w:t>
      </w:r>
      <w:r w:rsidR="00324F4B">
        <w:t xml:space="preserve">. Below the results for MEM, also </w:t>
      </w:r>
      <w:r w:rsidR="00B755E7">
        <w:t xml:space="preserve">the calculated </w:t>
      </w:r>
      <w:r w:rsidR="00324F4B">
        <w:t>RRKM rate</w:t>
      </w:r>
      <w:r w:rsidR="005447C3">
        <w:t xml:space="preserve"> constant</w:t>
      </w:r>
      <w:r w:rsidR="00324F4B">
        <w:t>s, density of states and sum of states are documented in the panel</w:t>
      </w:r>
      <w:r w:rsidR="005E5701">
        <w:t xml:space="preserve"> “Results”</w:t>
      </w:r>
      <w:r w:rsidR="00324F4B">
        <w:t>.</w:t>
      </w:r>
    </w:p>
    <w:p w14:paraId="0DD71DE5" w14:textId="560B7D31" w:rsidR="001538D6" w:rsidRDefault="00681987" w:rsidP="001538D6">
      <w:r>
        <w:t>During MEM the calculated populations are stored to a separate txt-file in the folder of the AWATAR_1.0.exe file. The name of this file is defined by the filename at the</w:t>
      </w:r>
      <w:r w:rsidR="002D5436">
        <w:t xml:space="preserve"> top of the panel</w:t>
      </w:r>
      <w:r w:rsidR="005E5701">
        <w:t xml:space="preserve"> “Parameters”</w:t>
      </w:r>
      <w:r w:rsidR="002D5436">
        <w:t xml:space="preserve">. </w:t>
      </w:r>
      <w:r w:rsidR="0004138D">
        <w:t>As we did not change the d</w:t>
      </w:r>
      <w:r w:rsidR="002D5436">
        <w:t xml:space="preserve">efault  </w:t>
      </w:r>
      <w:r w:rsidR="0004138D">
        <w:t>“</w:t>
      </w:r>
      <w:r w:rsidR="002D5436">
        <w:t>FILENAME</w:t>
      </w:r>
      <w:r w:rsidR="0004138D">
        <w:t>”, you should now find the file “filename_pop.txt” in the folder where you have executed AWATAR1.0_exe</w:t>
      </w:r>
      <w:r w:rsidR="002D5436">
        <w:t>.</w:t>
      </w:r>
      <w:r w:rsidR="0004138D">
        <w:t xml:space="preserve"> This file contains the populations of the reactant depending on the simulation time.</w:t>
      </w:r>
    </w:p>
    <w:p w14:paraId="1ACF3E06" w14:textId="7AA50E07" w:rsidR="00494FFD" w:rsidRDefault="00494FFD" w:rsidP="001538D6">
      <w:r w:rsidRPr="004158EB">
        <w:rPr>
          <w:b/>
          <w:bCs/>
        </w:rPr>
        <w:t>Congratulations</w:t>
      </w:r>
      <w:r>
        <w:t>, you have now performed your first calculations with AWATAR. You can store the current state of all panels and arrays of AWATAR using the button “Save all”.</w:t>
      </w:r>
    </w:p>
    <w:p w14:paraId="239A0968" w14:textId="3DB6DE34" w:rsidR="002225F8" w:rsidRPr="004F7479" w:rsidRDefault="002F125C" w:rsidP="005447C3">
      <w:r>
        <w:t xml:space="preserve">For other use cases and more detailed information see the </w:t>
      </w:r>
      <w:r w:rsidR="00F5020E">
        <w:t>U</w:t>
      </w:r>
      <w:r>
        <w:t>ser Manual of AWATAR.</w:t>
      </w:r>
    </w:p>
    <w:sdt>
      <w:sdtPr>
        <w:rPr>
          <w:rFonts w:eastAsiaTheme="minorHAnsi" w:cstheme="minorBidi"/>
          <w:b w:val="0"/>
          <w:sz w:val="22"/>
          <w:szCs w:val="22"/>
        </w:rPr>
        <w:tag w:val="CitaviBibliography"/>
        <w:id w:val="-1279565954"/>
        <w:placeholder>
          <w:docPart w:val="DefaultPlaceholder_-1854013440"/>
        </w:placeholder>
      </w:sdtPr>
      <w:sdtContent>
        <w:p w14:paraId="2538186C" w14:textId="77777777" w:rsidR="00ED047D" w:rsidRDefault="00F65C1F" w:rsidP="00ED047D">
          <w:pPr>
            <w:pStyle w:val="CitaviBibliographyHeading"/>
          </w:pPr>
          <w:r w:rsidRPr="00CC2597">
            <w:fldChar w:fldCharType="begin"/>
          </w:r>
          <w:r w:rsidRPr="004F7479">
            <w:instrText>ADDIN CitaviBibliography</w:instrText>
          </w:r>
          <w:r w:rsidRPr="00CC2597">
            <w:fldChar w:fldCharType="separate"/>
          </w:r>
          <w:r w:rsidR="00ED047D">
            <w:t>References</w:t>
          </w:r>
        </w:p>
        <w:p w14:paraId="77C5840E" w14:textId="77777777" w:rsidR="00ED047D" w:rsidRDefault="00ED047D" w:rsidP="00ED047D">
          <w:pPr>
            <w:pStyle w:val="CitaviBibliographyEntry"/>
          </w:pPr>
          <w:r>
            <w:t xml:space="preserve">(1) </w:t>
          </w:r>
          <w:bookmarkStart w:id="2" w:name="_CTVL001d8923df2ec7b4381a25e557b062d3600"/>
          <w:r>
            <w:t>NIST Standard Reference Database 101.</w:t>
          </w:r>
          <w:bookmarkEnd w:id="2"/>
          <w:r>
            <w:t xml:space="preserve"> </w:t>
          </w:r>
          <w:r w:rsidRPr="00ED047D">
            <w:rPr>
              <w:i/>
            </w:rPr>
            <w:t>Precomputed vibrational scaling factors</w:t>
          </w:r>
          <w:r w:rsidRPr="00ED047D">
            <w:t>. https://​cccbdb.nist.gov​/​vibscalejustx.asp (accessed 2025-04-17).</w:t>
          </w:r>
        </w:p>
        <w:p w14:paraId="3A20D3C6" w14:textId="2C5BDC91" w:rsidR="00F65C1F" w:rsidRPr="004F7479" w:rsidRDefault="00ED047D" w:rsidP="00ED047D">
          <w:pPr>
            <w:pStyle w:val="CitaviBibliographyEntry"/>
          </w:pPr>
          <w:r>
            <w:t xml:space="preserve">(2) </w:t>
          </w:r>
          <w:bookmarkStart w:id="3" w:name="_CTVL0014b8065bd3f0749c2864763d1ef06becf"/>
          <w:r>
            <w:t>Gilbert, R. G.; Smith, S. C.</w:t>
          </w:r>
          <w:bookmarkEnd w:id="3"/>
          <w:r>
            <w:t xml:space="preserve"> </w:t>
          </w:r>
          <w:r w:rsidRPr="00ED047D">
            <w:rPr>
              <w:i/>
            </w:rPr>
            <w:t>Theory of Unimolecular and Recombination Reactions</w:t>
          </w:r>
          <w:r w:rsidRPr="00ED047D">
            <w:t>; Physical Chemistry Texts; Blackwell Scientific Publications, 1990.</w:t>
          </w:r>
          <w:r w:rsidR="00F65C1F" w:rsidRPr="00CC2597">
            <w:fldChar w:fldCharType="end"/>
          </w:r>
        </w:p>
      </w:sdtContent>
    </w:sdt>
    <w:p w14:paraId="186936A9" w14:textId="77777777" w:rsidR="00F65C1F" w:rsidRPr="004F7479" w:rsidRDefault="00F65C1F" w:rsidP="00F65C1F"/>
    <w:sectPr w:rsidR="00F65C1F" w:rsidRPr="004F7479">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gdalena Salzburger" w:date="2025-05-04T19:32:00Z" w:initials="MS">
    <w:p w14:paraId="5AACF85B" w14:textId="77777777" w:rsidR="00D86C32" w:rsidRDefault="00C12E7E" w:rsidP="00D86C32">
      <w:pPr>
        <w:pStyle w:val="Kommentartext"/>
      </w:pPr>
      <w:r>
        <w:rPr>
          <w:rStyle w:val="Kommentarzeichen"/>
        </w:rPr>
        <w:annotationRef/>
      </w:r>
      <w:r w:rsidR="00D86C32">
        <w:t>Bilder aktualisieren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ACF8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8D8189" w16cex:dateUtc="2025-05-04T17: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ACF85B" w16cid:durableId="088D818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44DA"/>
    <w:multiLevelType w:val="hybridMultilevel"/>
    <w:tmpl w:val="30A0EB4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8BB2623"/>
    <w:multiLevelType w:val="hybridMultilevel"/>
    <w:tmpl w:val="84B0BEE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18D96126"/>
    <w:multiLevelType w:val="hybridMultilevel"/>
    <w:tmpl w:val="7D3E3A66"/>
    <w:lvl w:ilvl="0" w:tplc="E1C853FA">
      <w:start w:val="1"/>
      <w:numFmt w:val="decimal"/>
      <w:lvlText w:val="%1)"/>
      <w:lvlJc w:val="left"/>
      <w:pPr>
        <w:ind w:left="1020" w:hanging="360"/>
      </w:pPr>
    </w:lvl>
    <w:lvl w:ilvl="1" w:tplc="0D3400B4">
      <w:start w:val="1"/>
      <w:numFmt w:val="decimal"/>
      <w:lvlText w:val="%2)"/>
      <w:lvlJc w:val="left"/>
      <w:pPr>
        <w:ind w:left="1020" w:hanging="360"/>
      </w:pPr>
    </w:lvl>
    <w:lvl w:ilvl="2" w:tplc="57BAF1CE">
      <w:start w:val="1"/>
      <w:numFmt w:val="decimal"/>
      <w:lvlText w:val="%3)"/>
      <w:lvlJc w:val="left"/>
      <w:pPr>
        <w:ind w:left="1020" w:hanging="360"/>
      </w:pPr>
    </w:lvl>
    <w:lvl w:ilvl="3" w:tplc="16AE5DF0">
      <w:start w:val="1"/>
      <w:numFmt w:val="decimal"/>
      <w:lvlText w:val="%4)"/>
      <w:lvlJc w:val="left"/>
      <w:pPr>
        <w:ind w:left="1020" w:hanging="360"/>
      </w:pPr>
    </w:lvl>
    <w:lvl w:ilvl="4" w:tplc="20F49A30">
      <w:start w:val="1"/>
      <w:numFmt w:val="decimal"/>
      <w:lvlText w:val="%5)"/>
      <w:lvlJc w:val="left"/>
      <w:pPr>
        <w:ind w:left="1020" w:hanging="360"/>
      </w:pPr>
    </w:lvl>
    <w:lvl w:ilvl="5" w:tplc="A01E4F6E">
      <w:start w:val="1"/>
      <w:numFmt w:val="decimal"/>
      <w:lvlText w:val="%6)"/>
      <w:lvlJc w:val="left"/>
      <w:pPr>
        <w:ind w:left="1020" w:hanging="360"/>
      </w:pPr>
    </w:lvl>
    <w:lvl w:ilvl="6" w:tplc="B8D45224">
      <w:start w:val="1"/>
      <w:numFmt w:val="decimal"/>
      <w:lvlText w:val="%7)"/>
      <w:lvlJc w:val="left"/>
      <w:pPr>
        <w:ind w:left="1020" w:hanging="360"/>
      </w:pPr>
    </w:lvl>
    <w:lvl w:ilvl="7" w:tplc="C5BA0544">
      <w:start w:val="1"/>
      <w:numFmt w:val="decimal"/>
      <w:lvlText w:val="%8)"/>
      <w:lvlJc w:val="left"/>
      <w:pPr>
        <w:ind w:left="1020" w:hanging="360"/>
      </w:pPr>
    </w:lvl>
    <w:lvl w:ilvl="8" w:tplc="854405FA">
      <w:start w:val="1"/>
      <w:numFmt w:val="decimal"/>
      <w:lvlText w:val="%9)"/>
      <w:lvlJc w:val="left"/>
      <w:pPr>
        <w:ind w:left="1020" w:hanging="360"/>
      </w:pPr>
    </w:lvl>
  </w:abstractNum>
  <w:abstractNum w:abstractNumId="3" w15:restartNumberingAfterBreak="0">
    <w:nsid w:val="2E9C6290"/>
    <w:multiLevelType w:val="hybridMultilevel"/>
    <w:tmpl w:val="E9AE643E"/>
    <w:lvl w:ilvl="0" w:tplc="3510F37E">
      <w:start w:val="1"/>
      <w:numFmt w:val="decimal"/>
      <w:lvlText w:val="%1)"/>
      <w:lvlJc w:val="left"/>
      <w:pPr>
        <w:ind w:left="1020" w:hanging="360"/>
      </w:pPr>
    </w:lvl>
    <w:lvl w:ilvl="1" w:tplc="DEE22BE0">
      <w:start w:val="1"/>
      <w:numFmt w:val="decimal"/>
      <w:lvlText w:val="%2)"/>
      <w:lvlJc w:val="left"/>
      <w:pPr>
        <w:ind w:left="1020" w:hanging="360"/>
      </w:pPr>
    </w:lvl>
    <w:lvl w:ilvl="2" w:tplc="9640893A">
      <w:start w:val="1"/>
      <w:numFmt w:val="decimal"/>
      <w:lvlText w:val="%3)"/>
      <w:lvlJc w:val="left"/>
      <w:pPr>
        <w:ind w:left="1020" w:hanging="360"/>
      </w:pPr>
    </w:lvl>
    <w:lvl w:ilvl="3" w:tplc="E670DCE4">
      <w:start w:val="1"/>
      <w:numFmt w:val="decimal"/>
      <w:lvlText w:val="%4)"/>
      <w:lvlJc w:val="left"/>
      <w:pPr>
        <w:ind w:left="1020" w:hanging="360"/>
      </w:pPr>
    </w:lvl>
    <w:lvl w:ilvl="4" w:tplc="A0602A92">
      <w:start w:val="1"/>
      <w:numFmt w:val="decimal"/>
      <w:lvlText w:val="%5)"/>
      <w:lvlJc w:val="left"/>
      <w:pPr>
        <w:ind w:left="1020" w:hanging="360"/>
      </w:pPr>
    </w:lvl>
    <w:lvl w:ilvl="5" w:tplc="689E0EAC">
      <w:start w:val="1"/>
      <w:numFmt w:val="decimal"/>
      <w:lvlText w:val="%6)"/>
      <w:lvlJc w:val="left"/>
      <w:pPr>
        <w:ind w:left="1020" w:hanging="360"/>
      </w:pPr>
    </w:lvl>
    <w:lvl w:ilvl="6" w:tplc="50BCCCEE">
      <w:start w:val="1"/>
      <w:numFmt w:val="decimal"/>
      <w:lvlText w:val="%7)"/>
      <w:lvlJc w:val="left"/>
      <w:pPr>
        <w:ind w:left="1020" w:hanging="360"/>
      </w:pPr>
    </w:lvl>
    <w:lvl w:ilvl="7" w:tplc="7BCA9730">
      <w:start w:val="1"/>
      <w:numFmt w:val="decimal"/>
      <w:lvlText w:val="%8)"/>
      <w:lvlJc w:val="left"/>
      <w:pPr>
        <w:ind w:left="1020" w:hanging="360"/>
      </w:pPr>
    </w:lvl>
    <w:lvl w:ilvl="8" w:tplc="B2723676">
      <w:start w:val="1"/>
      <w:numFmt w:val="decimal"/>
      <w:lvlText w:val="%9)"/>
      <w:lvlJc w:val="left"/>
      <w:pPr>
        <w:ind w:left="1020" w:hanging="360"/>
      </w:pPr>
    </w:lvl>
  </w:abstractNum>
  <w:abstractNum w:abstractNumId="4" w15:restartNumberingAfterBreak="0">
    <w:nsid w:val="438A55B9"/>
    <w:multiLevelType w:val="hybridMultilevel"/>
    <w:tmpl w:val="D96475F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496736A3"/>
    <w:multiLevelType w:val="hybridMultilevel"/>
    <w:tmpl w:val="DADCD176"/>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3602EDB"/>
    <w:multiLevelType w:val="hybridMultilevel"/>
    <w:tmpl w:val="EE62BF54"/>
    <w:lvl w:ilvl="0" w:tplc="0C07000F">
      <w:start w:val="1"/>
      <w:numFmt w:val="decimal"/>
      <w:lvlText w:val="%1."/>
      <w:lvlJc w:val="left"/>
      <w:pPr>
        <w:ind w:left="720" w:hanging="360"/>
      </w:pPr>
      <w:rPr>
        <w:rFont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6BBE365F"/>
    <w:multiLevelType w:val="hybridMultilevel"/>
    <w:tmpl w:val="0BE81A3E"/>
    <w:lvl w:ilvl="0" w:tplc="46CE9A8E">
      <w:start w:val="1"/>
      <w:numFmt w:val="decimal"/>
      <w:lvlText w:val="%1)"/>
      <w:lvlJc w:val="left"/>
      <w:pPr>
        <w:ind w:left="1020" w:hanging="360"/>
      </w:pPr>
    </w:lvl>
    <w:lvl w:ilvl="1" w:tplc="A7D6690C">
      <w:start w:val="1"/>
      <w:numFmt w:val="decimal"/>
      <w:lvlText w:val="%2)"/>
      <w:lvlJc w:val="left"/>
      <w:pPr>
        <w:ind w:left="1020" w:hanging="360"/>
      </w:pPr>
    </w:lvl>
    <w:lvl w:ilvl="2" w:tplc="8578C122">
      <w:start w:val="1"/>
      <w:numFmt w:val="decimal"/>
      <w:lvlText w:val="%3)"/>
      <w:lvlJc w:val="left"/>
      <w:pPr>
        <w:ind w:left="1020" w:hanging="360"/>
      </w:pPr>
    </w:lvl>
    <w:lvl w:ilvl="3" w:tplc="BC824ACC">
      <w:start w:val="1"/>
      <w:numFmt w:val="decimal"/>
      <w:lvlText w:val="%4)"/>
      <w:lvlJc w:val="left"/>
      <w:pPr>
        <w:ind w:left="1020" w:hanging="360"/>
      </w:pPr>
    </w:lvl>
    <w:lvl w:ilvl="4" w:tplc="03DECB64">
      <w:start w:val="1"/>
      <w:numFmt w:val="decimal"/>
      <w:lvlText w:val="%5)"/>
      <w:lvlJc w:val="left"/>
      <w:pPr>
        <w:ind w:left="1020" w:hanging="360"/>
      </w:pPr>
    </w:lvl>
    <w:lvl w:ilvl="5" w:tplc="4184B184">
      <w:start w:val="1"/>
      <w:numFmt w:val="decimal"/>
      <w:lvlText w:val="%6)"/>
      <w:lvlJc w:val="left"/>
      <w:pPr>
        <w:ind w:left="1020" w:hanging="360"/>
      </w:pPr>
    </w:lvl>
    <w:lvl w:ilvl="6" w:tplc="9942F196">
      <w:start w:val="1"/>
      <w:numFmt w:val="decimal"/>
      <w:lvlText w:val="%7)"/>
      <w:lvlJc w:val="left"/>
      <w:pPr>
        <w:ind w:left="1020" w:hanging="360"/>
      </w:pPr>
    </w:lvl>
    <w:lvl w:ilvl="7" w:tplc="C608AEE0">
      <w:start w:val="1"/>
      <w:numFmt w:val="decimal"/>
      <w:lvlText w:val="%8)"/>
      <w:lvlJc w:val="left"/>
      <w:pPr>
        <w:ind w:left="1020" w:hanging="360"/>
      </w:pPr>
    </w:lvl>
    <w:lvl w:ilvl="8" w:tplc="6EFA05E8">
      <w:start w:val="1"/>
      <w:numFmt w:val="decimal"/>
      <w:lvlText w:val="%9)"/>
      <w:lvlJc w:val="left"/>
      <w:pPr>
        <w:ind w:left="1020" w:hanging="360"/>
      </w:pPr>
    </w:lvl>
  </w:abstractNum>
  <w:abstractNum w:abstractNumId="8" w15:restartNumberingAfterBreak="0">
    <w:nsid w:val="767248F9"/>
    <w:multiLevelType w:val="hybridMultilevel"/>
    <w:tmpl w:val="C07E4C6C"/>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9" w15:restartNumberingAfterBreak="0">
    <w:nsid w:val="77AB23FA"/>
    <w:multiLevelType w:val="hybridMultilevel"/>
    <w:tmpl w:val="AF54D6A8"/>
    <w:lvl w:ilvl="0" w:tplc="74CE7B4A">
      <w:start w:val="1"/>
      <w:numFmt w:val="decimal"/>
      <w:lvlText w:val="%1)"/>
      <w:lvlJc w:val="left"/>
      <w:pPr>
        <w:ind w:left="1020" w:hanging="360"/>
      </w:pPr>
    </w:lvl>
    <w:lvl w:ilvl="1" w:tplc="45AE99BC">
      <w:start w:val="1"/>
      <w:numFmt w:val="decimal"/>
      <w:lvlText w:val="%2)"/>
      <w:lvlJc w:val="left"/>
      <w:pPr>
        <w:ind w:left="1020" w:hanging="360"/>
      </w:pPr>
    </w:lvl>
    <w:lvl w:ilvl="2" w:tplc="5714366E">
      <w:start w:val="1"/>
      <w:numFmt w:val="decimal"/>
      <w:lvlText w:val="%3)"/>
      <w:lvlJc w:val="left"/>
      <w:pPr>
        <w:ind w:left="1020" w:hanging="360"/>
      </w:pPr>
    </w:lvl>
    <w:lvl w:ilvl="3" w:tplc="AA5E7BD6">
      <w:start w:val="1"/>
      <w:numFmt w:val="decimal"/>
      <w:lvlText w:val="%4)"/>
      <w:lvlJc w:val="left"/>
      <w:pPr>
        <w:ind w:left="1020" w:hanging="360"/>
      </w:pPr>
    </w:lvl>
    <w:lvl w:ilvl="4" w:tplc="562EA04C">
      <w:start w:val="1"/>
      <w:numFmt w:val="decimal"/>
      <w:lvlText w:val="%5)"/>
      <w:lvlJc w:val="left"/>
      <w:pPr>
        <w:ind w:left="1020" w:hanging="360"/>
      </w:pPr>
    </w:lvl>
    <w:lvl w:ilvl="5" w:tplc="1E20FAA8">
      <w:start w:val="1"/>
      <w:numFmt w:val="decimal"/>
      <w:lvlText w:val="%6)"/>
      <w:lvlJc w:val="left"/>
      <w:pPr>
        <w:ind w:left="1020" w:hanging="360"/>
      </w:pPr>
    </w:lvl>
    <w:lvl w:ilvl="6" w:tplc="9C40AF8C">
      <w:start w:val="1"/>
      <w:numFmt w:val="decimal"/>
      <w:lvlText w:val="%7)"/>
      <w:lvlJc w:val="left"/>
      <w:pPr>
        <w:ind w:left="1020" w:hanging="360"/>
      </w:pPr>
    </w:lvl>
    <w:lvl w:ilvl="7" w:tplc="18E43D32">
      <w:start w:val="1"/>
      <w:numFmt w:val="decimal"/>
      <w:lvlText w:val="%8)"/>
      <w:lvlJc w:val="left"/>
      <w:pPr>
        <w:ind w:left="1020" w:hanging="360"/>
      </w:pPr>
    </w:lvl>
    <w:lvl w:ilvl="8" w:tplc="33B86AA0">
      <w:start w:val="1"/>
      <w:numFmt w:val="decimal"/>
      <w:lvlText w:val="%9)"/>
      <w:lvlJc w:val="left"/>
      <w:pPr>
        <w:ind w:left="1020" w:hanging="360"/>
      </w:pPr>
    </w:lvl>
  </w:abstractNum>
  <w:abstractNum w:abstractNumId="10" w15:restartNumberingAfterBreak="0">
    <w:nsid w:val="7A4F0C07"/>
    <w:multiLevelType w:val="hybridMultilevel"/>
    <w:tmpl w:val="DADCD176"/>
    <w:lvl w:ilvl="0" w:tplc="0C070011">
      <w:start w:val="1"/>
      <w:numFmt w:val="decimal"/>
      <w:lvlText w:val="%1)"/>
      <w:lvlJc w:val="left"/>
      <w:pPr>
        <w:ind w:left="720" w:hanging="360"/>
      </w:pPr>
      <w:rPr>
        <w:rFonts w:hint="default"/>
        <w:color w:val="auto"/>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2092968694">
    <w:abstractNumId w:val="6"/>
  </w:num>
  <w:num w:numId="2" w16cid:durableId="703137104">
    <w:abstractNumId w:val="2"/>
  </w:num>
  <w:num w:numId="3" w16cid:durableId="258486225">
    <w:abstractNumId w:val="3"/>
  </w:num>
  <w:num w:numId="4" w16cid:durableId="1336375714">
    <w:abstractNumId w:val="0"/>
  </w:num>
  <w:num w:numId="5" w16cid:durableId="1140076866">
    <w:abstractNumId w:val="1"/>
  </w:num>
  <w:num w:numId="6" w16cid:durableId="897594848">
    <w:abstractNumId w:val="9"/>
  </w:num>
  <w:num w:numId="7" w16cid:durableId="2032412639">
    <w:abstractNumId w:val="7"/>
  </w:num>
  <w:num w:numId="8" w16cid:durableId="1534149405">
    <w:abstractNumId w:val="10"/>
  </w:num>
  <w:num w:numId="9" w16cid:durableId="1257057858">
    <w:abstractNumId w:val="5"/>
  </w:num>
  <w:num w:numId="10" w16cid:durableId="1478841928">
    <w:abstractNumId w:val="4"/>
  </w:num>
  <w:num w:numId="11" w16cid:durableId="140517697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gdalena Salzburger">
    <w15:presenceInfo w15:providerId="AD" w15:userId="S::Magdalena.Salzburger@lfu.at::6902c212-5c69-46c7-b782-94df9b0cd2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5F8"/>
    <w:rsid w:val="000203B0"/>
    <w:rsid w:val="00020ADA"/>
    <w:rsid w:val="00021F84"/>
    <w:rsid w:val="000330E4"/>
    <w:rsid w:val="0004138D"/>
    <w:rsid w:val="00041CF5"/>
    <w:rsid w:val="00054C00"/>
    <w:rsid w:val="000761DF"/>
    <w:rsid w:val="00080243"/>
    <w:rsid w:val="0009018C"/>
    <w:rsid w:val="000D2FE5"/>
    <w:rsid w:val="000D719E"/>
    <w:rsid w:val="000E4D00"/>
    <w:rsid w:val="00142428"/>
    <w:rsid w:val="001538D6"/>
    <w:rsid w:val="00156E11"/>
    <w:rsid w:val="00174E26"/>
    <w:rsid w:val="001751EA"/>
    <w:rsid w:val="00176F20"/>
    <w:rsid w:val="00177299"/>
    <w:rsid w:val="001B4B39"/>
    <w:rsid w:val="001C31AA"/>
    <w:rsid w:val="001D17D7"/>
    <w:rsid w:val="001D5890"/>
    <w:rsid w:val="001E5907"/>
    <w:rsid w:val="00221588"/>
    <w:rsid w:val="002225F8"/>
    <w:rsid w:val="00225383"/>
    <w:rsid w:val="00225A50"/>
    <w:rsid w:val="002306E9"/>
    <w:rsid w:val="00255981"/>
    <w:rsid w:val="002561B8"/>
    <w:rsid w:val="00260456"/>
    <w:rsid w:val="00273219"/>
    <w:rsid w:val="0027331B"/>
    <w:rsid w:val="002964F7"/>
    <w:rsid w:val="002A38E1"/>
    <w:rsid w:val="002A4762"/>
    <w:rsid w:val="002A6BE6"/>
    <w:rsid w:val="002D2E45"/>
    <w:rsid w:val="002D5436"/>
    <w:rsid w:val="002F125C"/>
    <w:rsid w:val="0030381B"/>
    <w:rsid w:val="00324F4B"/>
    <w:rsid w:val="00335005"/>
    <w:rsid w:val="00341460"/>
    <w:rsid w:val="00356352"/>
    <w:rsid w:val="0036418D"/>
    <w:rsid w:val="00381A13"/>
    <w:rsid w:val="00384D82"/>
    <w:rsid w:val="003D0D16"/>
    <w:rsid w:val="003D50A4"/>
    <w:rsid w:val="003D50F6"/>
    <w:rsid w:val="003E64A0"/>
    <w:rsid w:val="003F0F22"/>
    <w:rsid w:val="003F3392"/>
    <w:rsid w:val="0041059D"/>
    <w:rsid w:val="00410875"/>
    <w:rsid w:val="004158EB"/>
    <w:rsid w:val="00416876"/>
    <w:rsid w:val="004354CE"/>
    <w:rsid w:val="00441BEA"/>
    <w:rsid w:val="00443109"/>
    <w:rsid w:val="00476EEA"/>
    <w:rsid w:val="004828E6"/>
    <w:rsid w:val="00483A69"/>
    <w:rsid w:val="00484B22"/>
    <w:rsid w:val="00490529"/>
    <w:rsid w:val="00494FFD"/>
    <w:rsid w:val="004A33B6"/>
    <w:rsid w:val="004A4904"/>
    <w:rsid w:val="004E1A5B"/>
    <w:rsid w:val="004F7479"/>
    <w:rsid w:val="00501666"/>
    <w:rsid w:val="00501892"/>
    <w:rsid w:val="00523799"/>
    <w:rsid w:val="0053554B"/>
    <w:rsid w:val="005447C3"/>
    <w:rsid w:val="00556765"/>
    <w:rsid w:val="005E5701"/>
    <w:rsid w:val="005F7E16"/>
    <w:rsid w:val="006116B6"/>
    <w:rsid w:val="00611FC2"/>
    <w:rsid w:val="00622B68"/>
    <w:rsid w:val="0062377A"/>
    <w:rsid w:val="00632154"/>
    <w:rsid w:val="00681987"/>
    <w:rsid w:val="00682783"/>
    <w:rsid w:val="006C017B"/>
    <w:rsid w:val="006C373E"/>
    <w:rsid w:val="006C51B8"/>
    <w:rsid w:val="006E0D84"/>
    <w:rsid w:val="006E3BF3"/>
    <w:rsid w:val="006E7077"/>
    <w:rsid w:val="006F4AC8"/>
    <w:rsid w:val="007052AC"/>
    <w:rsid w:val="00716AF3"/>
    <w:rsid w:val="00716B3E"/>
    <w:rsid w:val="00724B59"/>
    <w:rsid w:val="007351AC"/>
    <w:rsid w:val="00740144"/>
    <w:rsid w:val="00772E24"/>
    <w:rsid w:val="00773B8A"/>
    <w:rsid w:val="00792C94"/>
    <w:rsid w:val="0079649B"/>
    <w:rsid w:val="007A7AA1"/>
    <w:rsid w:val="007B3DE8"/>
    <w:rsid w:val="007B4793"/>
    <w:rsid w:val="007C4D1C"/>
    <w:rsid w:val="007E5011"/>
    <w:rsid w:val="008106B6"/>
    <w:rsid w:val="008231C9"/>
    <w:rsid w:val="00830C1D"/>
    <w:rsid w:val="00830D1C"/>
    <w:rsid w:val="00837EA8"/>
    <w:rsid w:val="0084336C"/>
    <w:rsid w:val="0087633C"/>
    <w:rsid w:val="00881DCD"/>
    <w:rsid w:val="008833F4"/>
    <w:rsid w:val="0089411E"/>
    <w:rsid w:val="008A04DF"/>
    <w:rsid w:val="008C0C53"/>
    <w:rsid w:val="008F45FE"/>
    <w:rsid w:val="008F54AB"/>
    <w:rsid w:val="00903858"/>
    <w:rsid w:val="0091066E"/>
    <w:rsid w:val="00911E0A"/>
    <w:rsid w:val="00923F47"/>
    <w:rsid w:val="009366A7"/>
    <w:rsid w:val="00944957"/>
    <w:rsid w:val="009547FD"/>
    <w:rsid w:val="0095649B"/>
    <w:rsid w:val="00987900"/>
    <w:rsid w:val="009C3676"/>
    <w:rsid w:val="009C457A"/>
    <w:rsid w:val="009F0D0F"/>
    <w:rsid w:val="00A1435C"/>
    <w:rsid w:val="00A460BC"/>
    <w:rsid w:val="00A5331C"/>
    <w:rsid w:val="00A64FF6"/>
    <w:rsid w:val="00A81774"/>
    <w:rsid w:val="00A85B6D"/>
    <w:rsid w:val="00A96E62"/>
    <w:rsid w:val="00AA52F5"/>
    <w:rsid w:val="00AB289A"/>
    <w:rsid w:val="00AC1A71"/>
    <w:rsid w:val="00AD6AED"/>
    <w:rsid w:val="00AE16F0"/>
    <w:rsid w:val="00B02A10"/>
    <w:rsid w:val="00B17DF5"/>
    <w:rsid w:val="00B36B4F"/>
    <w:rsid w:val="00B37A40"/>
    <w:rsid w:val="00B43D58"/>
    <w:rsid w:val="00B71F04"/>
    <w:rsid w:val="00B74F6E"/>
    <w:rsid w:val="00B755E7"/>
    <w:rsid w:val="00B76473"/>
    <w:rsid w:val="00B803A7"/>
    <w:rsid w:val="00B805C7"/>
    <w:rsid w:val="00B80A12"/>
    <w:rsid w:val="00B90183"/>
    <w:rsid w:val="00BE1287"/>
    <w:rsid w:val="00C12E7E"/>
    <w:rsid w:val="00C134A5"/>
    <w:rsid w:val="00C23BE3"/>
    <w:rsid w:val="00C41D6B"/>
    <w:rsid w:val="00C43354"/>
    <w:rsid w:val="00C60C28"/>
    <w:rsid w:val="00C62B1C"/>
    <w:rsid w:val="00C71A91"/>
    <w:rsid w:val="00C83CA4"/>
    <w:rsid w:val="00C96698"/>
    <w:rsid w:val="00CB5C1D"/>
    <w:rsid w:val="00CC11A6"/>
    <w:rsid w:val="00CC122E"/>
    <w:rsid w:val="00CC2597"/>
    <w:rsid w:val="00D02229"/>
    <w:rsid w:val="00D0417A"/>
    <w:rsid w:val="00D12C57"/>
    <w:rsid w:val="00D4620D"/>
    <w:rsid w:val="00D50C62"/>
    <w:rsid w:val="00D7157B"/>
    <w:rsid w:val="00D7297D"/>
    <w:rsid w:val="00D75B16"/>
    <w:rsid w:val="00D86C32"/>
    <w:rsid w:val="00D90D63"/>
    <w:rsid w:val="00D939A6"/>
    <w:rsid w:val="00DA27B3"/>
    <w:rsid w:val="00DC1A15"/>
    <w:rsid w:val="00E0019D"/>
    <w:rsid w:val="00E14E05"/>
    <w:rsid w:val="00E5291A"/>
    <w:rsid w:val="00E84F6F"/>
    <w:rsid w:val="00EB635C"/>
    <w:rsid w:val="00ED047D"/>
    <w:rsid w:val="00ED0A45"/>
    <w:rsid w:val="00EE39D8"/>
    <w:rsid w:val="00EE4763"/>
    <w:rsid w:val="00EE51A7"/>
    <w:rsid w:val="00EF3D4D"/>
    <w:rsid w:val="00EF5635"/>
    <w:rsid w:val="00F03239"/>
    <w:rsid w:val="00F06200"/>
    <w:rsid w:val="00F24941"/>
    <w:rsid w:val="00F346EF"/>
    <w:rsid w:val="00F42A02"/>
    <w:rsid w:val="00F42C61"/>
    <w:rsid w:val="00F5020E"/>
    <w:rsid w:val="00F5214B"/>
    <w:rsid w:val="00F65C1F"/>
    <w:rsid w:val="00F73BF3"/>
    <w:rsid w:val="00F81D50"/>
    <w:rsid w:val="00F86521"/>
    <w:rsid w:val="00F941D3"/>
    <w:rsid w:val="00F967DF"/>
    <w:rsid w:val="00FA5ADE"/>
    <w:rsid w:val="00FC3A56"/>
    <w:rsid w:val="00FE7BF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4E7F0"/>
  <w15:chartTrackingRefBased/>
  <w15:docId w15:val="{95162193-3246-43E0-860A-6A08BF75A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C1A15"/>
    <w:rPr>
      <w:lang w:val="en-GB"/>
    </w:rPr>
  </w:style>
  <w:style w:type="paragraph" w:styleId="berschrift1">
    <w:name w:val="heading 1"/>
    <w:basedOn w:val="Standard"/>
    <w:next w:val="Standard"/>
    <w:link w:val="berschrift1Zchn"/>
    <w:uiPriority w:val="9"/>
    <w:qFormat/>
    <w:rsid w:val="00484B22"/>
    <w:pPr>
      <w:keepNext/>
      <w:keepLines/>
      <w:spacing w:before="240" w:after="0"/>
      <w:outlineLvl w:val="0"/>
    </w:pPr>
    <w:rPr>
      <w:rFonts w:eastAsiaTheme="majorEastAsia" w:cstheme="majorBidi"/>
      <w:b/>
      <w:sz w:val="32"/>
      <w:szCs w:val="32"/>
    </w:rPr>
  </w:style>
  <w:style w:type="paragraph" w:styleId="berschrift2">
    <w:name w:val="heading 2"/>
    <w:basedOn w:val="Standard"/>
    <w:next w:val="Standard"/>
    <w:link w:val="berschrift2Zchn"/>
    <w:uiPriority w:val="9"/>
    <w:unhideWhenUsed/>
    <w:qFormat/>
    <w:rsid w:val="008F54AB"/>
    <w:pPr>
      <w:keepNext/>
      <w:keepLines/>
      <w:spacing w:before="40" w:after="0"/>
      <w:outlineLvl w:val="1"/>
    </w:pPr>
    <w:rPr>
      <w:rFonts w:asciiTheme="majorHAnsi" w:eastAsiaTheme="majorEastAsia" w:hAnsiTheme="majorHAnsi" w:cstheme="majorBidi"/>
      <w:b/>
      <w:sz w:val="26"/>
      <w:szCs w:val="26"/>
    </w:rPr>
  </w:style>
  <w:style w:type="paragraph" w:styleId="berschrift3">
    <w:name w:val="heading 3"/>
    <w:basedOn w:val="Standard"/>
    <w:next w:val="Standard"/>
    <w:link w:val="berschrift3Zchn"/>
    <w:uiPriority w:val="9"/>
    <w:semiHidden/>
    <w:unhideWhenUsed/>
    <w:qFormat/>
    <w:rsid w:val="00F65C1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erschrift4">
    <w:name w:val="heading 4"/>
    <w:basedOn w:val="Standard"/>
    <w:next w:val="Standard"/>
    <w:link w:val="berschrift4Zchn"/>
    <w:uiPriority w:val="9"/>
    <w:semiHidden/>
    <w:unhideWhenUsed/>
    <w:qFormat/>
    <w:rsid w:val="00F65C1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F65C1F"/>
    <w:pPr>
      <w:keepNext/>
      <w:keepLines/>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F65C1F"/>
    <w:pPr>
      <w:keepNext/>
      <w:keepLines/>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F65C1F"/>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F65C1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F65C1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F65C1F"/>
    <w:rPr>
      <w:color w:val="808080"/>
    </w:rPr>
  </w:style>
  <w:style w:type="paragraph" w:customStyle="1" w:styleId="CitaviBibliographyEntry">
    <w:name w:val="Citavi Bibliography Entry"/>
    <w:basedOn w:val="Standard"/>
    <w:link w:val="CitaviBibliographyEntryZchn"/>
    <w:uiPriority w:val="99"/>
    <w:rsid w:val="00F65C1F"/>
    <w:pPr>
      <w:spacing w:after="0"/>
      <w:ind w:firstLine="57"/>
    </w:pPr>
  </w:style>
  <w:style w:type="character" w:customStyle="1" w:styleId="CitaviBibliographyEntryZchn">
    <w:name w:val="Citavi Bibliography Entry Zchn"/>
    <w:basedOn w:val="Absatz-Standardschriftart"/>
    <w:link w:val="CitaviBibliographyEntry"/>
    <w:uiPriority w:val="99"/>
    <w:rsid w:val="00F65C1F"/>
    <w:rPr>
      <w:lang w:val="en-GB"/>
    </w:rPr>
  </w:style>
  <w:style w:type="paragraph" w:customStyle="1" w:styleId="CitaviBibliographyHeading">
    <w:name w:val="Citavi Bibliography Heading"/>
    <w:basedOn w:val="berschrift1"/>
    <w:link w:val="CitaviBibliographyHeadingZchn"/>
    <w:uiPriority w:val="99"/>
    <w:rsid w:val="00F65C1F"/>
  </w:style>
  <w:style w:type="character" w:customStyle="1" w:styleId="CitaviBibliographyHeadingZchn">
    <w:name w:val="Citavi Bibliography Heading Zchn"/>
    <w:basedOn w:val="Absatz-Standardschriftart"/>
    <w:link w:val="CitaviBibliographyHeading"/>
    <w:uiPriority w:val="99"/>
    <w:rsid w:val="00F65C1F"/>
    <w:rPr>
      <w:rFonts w:eastAsiaTheme="majorEastAsia" w:cstheme="majorBidi"/>
      <w:b/>
      <w:sz w:val="32"/>
      <w:szCs w:val="32"/>
      <w:lang w:val="en-GB"/>
    </w:rPr>
  </w:style>
  <w:style w:type="character" w:customStyle="1" w:styleId="berschrift1Zchn">
    <w:name w:val="Überschrift 1 Zchn"/>
    <w:basedOn w:val="Absatz-Standardschriftart"/>
    <w:link w:val="berschrift1"/>
    <w:uiPriority w:val="9"/>
    <w:rsid w:val="00484B22"/>
    <w:rPr>
      <w:rFonts w:eastAsiaTheme="majorEastAsia" w:cstheme="majorBidi"/>
      <w:b/>
      <w:sz w:val="32"/>
      <w:szCs w:val="32"/>
      <w:lang w:val="en-GB"/>
    </w:rPr>
  </w:style>
  <w:style w:type="paragraph" w:customStyle="1" w:styleId="CitaviChapterBibliographyHeading">
    <w:name w:val="Citavi Chapter Bibliography Heading"/>
    <w:basedOn w:val="berschrift2"/>
    <w:link w:val="CitaviChapterBibliographyHeadingZchn"/>
    <w:uiPriority w:val="99"/>
    <w:rsid w:val="00F65C1F"/>
  </w:style>
  <w:style w:type="character" w:customStyle="1" w:styleId="CitaviChapterBibliographyHeadingZchn">
    <w:name w:val="Citavi Chapter Bibliography Heading Zchn"/>
    <w:basedOn w:val="Absatz-Standardschriftart"/>
    <w:link w:val="CitaviChapterBibliographyHeading"/>
    <w:uiPriority w:val="99"/>
    <w:rsid w:val="00F65C1F"/>
    <w:rPr>
      <w:rFonts w:asciiTheme="majorHAnsi" w:eastAsiaTheme="majorEastAsia" w:hAnsiTheme="majorHAnsi" w:cstheme="majorBidi"/>
      <w:color w:val="2E74B5" w:themeColor="accent1" w:themeShade="BF"/>
      <w:sz w:val="26"/>
      <w:szCs w:val="26"/>
      <w:lang w:val="en-GB"/>
    </w:rPr>
  </w:style>
  <w:style w:type="character" w:customStyle="1" w:styleId="berschrift2Zchn">
    <w:name w:val="Überschrift 2 Zchn"/>
    <w:basedOn w:val="Absatz-Standardschriftart"/>
    <w:link w:val="berschrift2"/>
    <w:uiPriority w:val="9"/>
    <w:rsid w:val="008F54AB"/>
    <w:rPr>
      <w:rFonts w:asciiTheme="majorHAnsi" w:eastAsiaTheme="majorEastAsia" w:hAnsiTheme="majorHAnsi" w:cstheme="majorBidi"/>
      <w:b/>
      <w:sz w:val="26"/>
      <w:szCs w:val="26"/>
      <w:lang w:val="en-GB"/>
    </w:rPr>
  </w:style>
  <w:style w:type="paragraph" w:customStyle="1" w:styleId="CitaviBibliographySubheading1">
    <w:name w:val="Citavi Bibliography Subheading 1"/>
    <w:basedOn w:val="berschrift2"/>
    <w:link w:val="CitaviBibliographySubheading1Zchn"/>
    <w:uiPriority w:val="99"/>
    <w:rsid w:val="00F65C1F"/>
    <w:pPr>
      <w:outlineLvl w:val="9"/>
    </w:pPr>
    <w:rPr>
      <w:lang w:val="de-AT"/>
    </w:rPr>
  </w:style>
  <w:style w:type="character" w:customStyle="1" w:styleId="CitaviBibliographySubheading1Zchn">
    <w:name w:val="Citavi Bibliography Subheading 1 Zchn"/>
    <w:basedOn w:val="Absatz-Standardschriftart"/>
    <w:link w:val="CitaviBibliographySubheading1"/>
    <w:uiPriority w:val="99"/>
    <w:rsid w:val="00F65C1F"/>
    <w:rPr>
      <w:rFonts w:asciiTheme="majorHAnsi" w:eastAsiaTheme="majorEastAsia" w:hAnsiTheme="majorHAnsi" w:cstheme="majorBidi"/>
      <w:b/>
      <w:sz w:val="26"/>
      <w:szCs w:val="26"/>
    </w:rPr>
  </w:style>
  <w:style w:type="paragraph" w:customStyle="1" w:styleId="CitaviBibliographySubheading2">
    <w:name w:val="Citavi Bibliography Subheading 2"/>
    <w:basedOn w:val="berschrift3"/>
    <w:link w:val="CitaviBibliographySubheading2Zchn"/>
    <w:uiPriority w:val="99"/>
    <w:rsid w:val="00F65C1F"/>
    <w:pPr>
      <w:outlineLvl w:val="9"/>
    </w:pPr>
    <w:rPr>
      <w:lang w:val="de-AT"/>
    </w:rPr>
  </w:style>
  <w:style w:type="character" w:customStyle="1" w:styleId="CitaviBibliographySubheading2Zchn">
    <w:name w:val="Citavi Bibliography Subheading 2 Zchn"/>
    <w:basedOn w:val="Absatz-Standardschriftart"/>
    <w:link w:val="CitaviBibliographySubheading2"/>
    <w:uiPriority w:val="99"/>
    <w:rsid w:val="00F65C1F"/>
    <w:rPr>
      <w:rFonts w:asciiTheme="majorHAnsi" w:eastAsiaTheme="majorEastAsia" w:hAnsiTheme="majorHAnsi" w:cstheme="majorBidi"/>
      <w:color w:val="1F4D78" w:themeColor="accent1" w:themeShade="7F"/>
      <w:sz w:val="24"/>
      <w:szCs w:val="24"/>
    </w:rPr>
  </w:style>
  <w:style w:type="character" w:customStyle="1" w:styleId="berschrift3Zchn">
    <w:name w:val="Überschrift 3 Zchn"/>
    <w:basedOn w:val="Absatz-Standardschriftart"/>
    <w:link w:val="berschrift3"/>
    <w:uiPriority w:val="9"/>
    <w:semiHidden/>
    <w:rsid w:val="00F65C1F"/>
    <w:rPr>
      <w:rFonts w:asciiTheme="majorHAnsi" w:eastAsiaTheme="majorEastAsia" w:hAnsiTheme="majorHAnsi" w:cstheme="majorBidi"/>
      <w:color w:val="1F4D78" w:themeColor="accent1" w:themeShade="7F"/>
      <w:sz w:val="24"/>
      <w:szCs w:val="24"/>
      <w:lang w:val="en-GB"/>
    </w:rPr>
  </w:style>
  <w:style w:type="paragraph" w:customStyle="1" w:styleId="CitaviBibliographySubheading3">
    <w:name w:val="Citavi Bibliography Subheading 3"/>
    <w:basedOn w:val="berschrift4"/>
    <w:link w:val="CitaviBibliographySubheading3Zchn"/>
    <w:uiPriority w:val="99"/>
    <w:rsid w:val="00F65C1F"/>
    <w:pPr>
      <w:outlineLvl w:val="9"/>
    </w:pPr>
    <w:rPr>
      <w:lang w:val="de-AT"/>
    </w:rPr>
  </w:style>
  <w:style w:type="character" w:customStyle="1" w:styleId="CitaviBibliographySubheading3Zchn">
    <w:name w:val="Citavi Bibliography Subheading 3 Zchn"/>
    <w:basedOn w:val="Absatz-Standardschriftart"/>
    <w:link w:val="CitaviBibliographySubheading3"/>
    <w:uiPriority w:val="99"/>
    <w:rsid w:val="00F65C1F"/>
    <w:rPr>
      <w:rFonts w:asciiTheme="majorHAnsi" w:eastAsiaTheme="majorEastAsia" w:hAnsiTheme="majorHAnsi" w:cstheme="majorBidi"/>
      <w:i/>
      <w:iCs/>
      <w:color w:val="2E74B5" w:themeColor="accent1" w:themeShade="BF"/>
    </w:rPr>
  </w:style>
  <w:style w:type="character" w:customStyle="1" w:styleId="berschrift4Zchn">
    <w:name w:val="Überschrift 4 Zchn"/>
    <w:basedOn w:val="Absatz-Standardschriftart"/>
    <w:link w:val="berschrift4"/>
    <w:uiPriority w:val="9"/>
    <w:semiHidden/>
    <w:rsid w:val="00F65C1F"/>
    <w:rPr>
      <w:rFonts w:asciiTheme="majorHAnsi" w:eastAsiaTheme="majorEastAsia" w:hAnsiTheme="majorHAnsi" w:cstheme="majorBidi"/>
      <w:i/>
      <w:iCs/>
      <w:color w:val="2E74B5" w:themeColor="accent1" w:themeShade="BF"/>
      <w:lang w:val="en-GB"/>
    </w:rPr>
  </w:style>
  <w:style w:type="paragraph" w:customStyle="1" w:styleId="CitaviBibliographySubheading4">
    <w:name w:val="Citavi Bibliography Subheading 4"/>
    <w:basedOn w:val="berschrift5"/>
    <w:link w:val="CitaviBibliographySubheading4Zchn"/>
    <w:uiPriority w:val="99"/>
    <w:rsid w:val="00F65C1F"/>
    <w:pPr>
      <w:outlineLvl w:val="9"/>
    </w:pPr>
    <w:rPr>
      <w:lang w:val="de-AT"/>
    </w:rPr>
  </w:style>
  <w:style w:type="character" w:customStyle="1" w:styleId="CitaviBibliographySubheading4Zchn">
    <w:name w:val="Citavi Bibliography Subheading 4 Zchn"/>
    <w:basedOn w:val="Absatz-Standardschriftart"/>
    <w:link w:val="CitaviBibliographySubheading4"/>
    <w:uiPriority w:val="99"/>
    <w:rsid w:val="00F65C1F"/>
    <w:rPr>
      <w:rFonts w:asciiTheme="majorHAnsi" w:eastAsiaTheme="majorEastAsia" w:hAnsiTheme="majorHAnsi" w:cstheme="majorBidi"/>
      <w:color w:val="2E74B5" w:themeColor="accent1" w:themeShade="BF"/>
    </w:rPr>
  </w:style>
  <w:style w:type="character" w:customStyle="1" w:styleId="berschrift5Zchn">
    <w:name w:val="Überschrift 5 Zchn"/>
    <w:basedOn w:val="Absatz-Standardschriftart"/>
    <w:link w:val="berschrift5"/>
    <w:uiPriority w:val="9"/>
    <w:semiHidden/>
    <w:rsid w:val="00F65C1F"/>
    <w:rPr>
      <w:rFonts w:asciiTheme="majorHAnsi" w:eastAsiaTheme="majorEastAsia" w:hAnsiTheme="majorHAnsi" w:cstheme="majorBidi"/>
      <w:color w:val="2E74B5" w:themeColor="accent1" w:themeShade="BF"/>
      <w:lang w:val="en-GB"/>
    </w:rPr>
  </w:style>
  <w:style w:type="paragraph" w:customStyle="1" w:styleId="CitaviBibliographySubheading5">
    <w:name w:val="Citavi Bibliography Subheading 5"/>
    <w:basedOn w:val="berschrift6"/>
    <w:link w:val="CitaviBibliographySubheading5Zchn"/>
    <w:uiPriority w:val="99"/>
    <w:rsid w:val="00F65C1F"/>
    <w:pPr>
      <w:outlineLvl w:val="9"/>
    </w:pPr>
    <w:rPr>
      <w:lang w:val="de-AT"/>
    </w:rPr>
  </w:style>
  <w:style w:type="character" w:customStyle="1" w:styleId="CitaviBibliographySubheading5Zchn">
    <w:name w:val="Citavi Bibliography Subheading 5 Zchn"/>
    <w:basedOn w:val="Absatz-Standardschriftart"/>
    <w:link w:val="CitaviBibliographySubheading5"/>
    <w:uiPriority w:val="99"/>
    <w:rsid w:val="00F65C1F"/>
    <w:rPr>
      <w:rFonts w:asciiTheme="majorHAnsi" w:eastAsiaTheme="majorEastAsia" w:hAnsiTheme="majorHAnsi" w:cstheme="majorBidi"/>
      <w:color w:val="1F4D78" w:themeColor="accent1" w:themeShade="7F"/>
    </w:rPr>
  </w:style>
  <w:style w:type="character" w:customStyle="1" w:styleId="berschrift6Zchn">
    <w:name w:val="Überschrift 6 Zchn"/>
    <w:basedOn w:val="Absatz-Standardschriftart"/>
    <w:link w:val="berschrift6"/>
    <w:uiPriority w:val="9"/>
    <w:semiHidden/>
    <w:rsid w:val="00F65C1F"/>
    <w:rPr>
      <w:rFonts w:asciiTheme="majorHAnsi" w:eastAsiaTheme="majorEastAsia" w:hAnsiTheme="majorHAnsi" w:cstheme="majorBidi"/>
      <w:color w:val="1F4D78" w:themeColor="accent1" w:themeShade="7F"/>
      <w:lang w:val="en-GB"/>
    </w:rPr>
  </w:style>
  <w:style w:type="paragraph" w:customStyle="1" w:styleId="CitaviBibliographySubheading6">
    <w:name w:val="Citavi Bibliography Subheading 6"/>
    <w:basedOn w:val="berschrift7"/>
    <w:link w:val="CitaviBibliographySubheading6Zchn"/>
    <w:uiPriority w:val="99"/>
    <w:rsid w:val="00F65C1F"/>
    <w:pPr>
      <w:outlineLvl w:val="9"/>
    </w:pPr>
    <w:rPr>
      <w:lang w:val="de-AT"/>
    </w:rPr>
  </w:style>
  <w:style w:type="character" w:customStyle="1" w:styleId="CitaviBibliographySubheading6Zchn">
    <w:name w:val="Citavi Bibliography Subheading 6 Zchn"/>
    <w:basedOn w:val="Absatz-Standardschriftart"/>
    <w:link w:val="CitaviBibliographySubheading6"/>
    <w:uiPriority w:val="99"/>
    <w:rsid w:val="00F65C1F"/>
    <w:rPr>
      <w:rFonts w:asciiTheme="majorHAnsi" w:eastAsiaTheme="majorEastAsia" w:hAnsiTheme="majorHAnsi" w:cstheme="majorBidi"/>
      <w:i/>
      <w:iCs/>
      <w:color w:val="1F4D78" w:themeColor="accent1" w:themeShade="7F"/>
    </w:rPr>
  </w:style>
  <w:style w:type="character" w:customStyle="1" w:styleId="berschrift7Zchn">
    <w:name w:val="Überschrift 7 Zchn"/>
    <w:basedOn w:val="Absatz-Standardschriftart"/>
    <w:link w:val="berschrift7"/>
    <w:uiPriority w:val="9"/>
    <w:semiHidden/>
    <w:rsid w:val="00F65C1F"/>
    <w:rPr>
      <w:rFonts w:asciiTheme="majorHAnsi" w:eastAsiaTheme="majorEastAsia" w:hAnsiTheme="majorHAnsi" w:cstheme="majorBidi"/>
      <w:i/>
      <w:iCs/>
      <w:color w:val="1F4D78" w:themeColor="accent1" w:themeShade="7F"/>
      <w:lang w:val="en-GB"/>
    </w:rPr>
  </w:style>
  <w:style w:type="paragraph" w:customStyle="1" w:styleId="CitaviBibliographySubheading7">
    <w:name w:val="Citavi Bibliography Subheading 7"/>
    <w:basedOn w:val="berschrift8"/>
    <w:link w:val="CitaviBibliographySubheading7Zchn"/>
    <w:uiPriority w:val="99"/>
    <w:rsid w:val="00F65C1F"/>
    <w:pPr>
      <w:outlineLvl w:val="9"/>
    </w:pPr>
    <w:rPr>
      <w:lang w:val="de-AT"/>
    </w:rPr>
  </w:style>
  <w:style w:type="character" w:customStyle="1" w:styleId="CitaviBibliographySubheading7Zchn">
    <w:name w:val="Citavi Bibliography Subheading 7 Zchn"/>
    <w:basedOn w:val="Absatz-Standardschriftart"/>
    <w:link w:val="CitaviBibliographySubheading7"/>
    <w:uiPriority w:val="99"/>
    <w:rsid w:val="00F65C1F"/>
    <w:rPr>
      <w:rFonts w:asciiTheme="majorHAnsi" w:eastAsiaTheme="majorEastAsia" w:hAnsiTheme="majorHAnsi" w:cstheme="majorBidi"/>
      <w:color w:val="272727" w:themeColor="text1" w:themeTint="D8"/>
      <w:sz w:val="21"/>
      <w:szCs w:val="21"/>
    </w:rPr>
  </w:style>
  <w:style w:type="character" w:customStyle="1" w:styleId="berschrift8Zchn">
    <w:name w:val="Überschrift 8 Zchn"/>
    <w:basedOn w:val="Absatz-Standardschriftart"/>
    <w:link w:val="berschrift8"/>
    <w:uiPriority w:val="9"/>
    <w:semiHidden/>
    <w:rsid w:val="00F65C1F"/>
    <w:rPr>
      <w:rFonts w:asciiTheme="majorHAnsi" w:eastAsiaTheme="majorEastAsia" w:hAnsiTheme="majorHAnsi" w:cstheme="majorBidi"/>
      <w:color w:val="272727" w:themeColor="text1" w:themeTint="D8"/>
      <w:sz w:val="21"/>
      <w:szCs w:val="21"/>
      <w:lang w:val="en-GB"/>
    </w:rPr>
  </w:style>
  <w:style w:type="paragraph" w:customStyle="1" w:styleId="CitaviBibliographySubheading8">
    <w:name w:val="Citavi Bibliography Subheading 8"/>
    <w:basedOn w:val="berschrift9"/>
    <w:link w:val="CitaviBibliographySubheading8Zchn"/>
    <w:uiPriority w:val="99"/>
    <w:rsid w:val="00F65C1F"/>
    <w:pPr>
      <w:outlineLvl w:val="9"/>
    </w:pPr>
    <w:rPr>
      <w:lang w:val="de-AT"/>
    </w:rPr>
  </w:style>
  <w:style w:type="character" w:customStyle="1" w:styleId="CitaviBibliographySubheading8Zchn">
    <w:name w:val="Citavi Bibliography Subheading 8 Zchn"/>
    <w:basedOn w:val="Absatz-Standardschriftart"/>
    <w:link w:val="CitaviBibliographySubheading8"/>
    <w:uiPriority w:val="99"/>
    <w:rsid w:val="00F65C1F"/>
    <w:rPr>
      <w:rFonts w:asciiTheme="majorHAnsi" w:eastAsiaTheme="majorEastAsia" w:hAnsiTheme="majorHAnsi" w:cstheme="majorBidi"/>
      <w:i/>
      <w:iCs/>
      <w:color w:val="272727" w:themeColor="text1" w:themeTint="D8"/>
      <w:sz w:val="21"/>
      <w:szCs w:val="21"/>
    </w:rPr>
  </w:style>
  <w:style w:type="character" w:customStyle="1" w:styleId="berschrift9Zchn">
    <w:name w:val="Überschrift 9 Zchn"/>
    <w:basedOn w:val="Absatz-Standardschriftart"/>
    <w:link w:val="berschrift9"/>
    <w:uiPriority w:val="9"/>
    <w:semiHidden/>
    <w:rsid w:val="00F65C1F"/>
    <w:rPr>
      <w:rFonts w:asciiTheme="majorHAnsi" w:eastAsiaTheme="majorEastAsia" w:hAnsiTheme="majorHAnsi" w:cstheme="majorBidi"/>
      <w:i/>
      <w:iCs/>
      <w:color w:val="272727" w:themeColor="text1" w:themeTint="D8"/>
      <w:sz w:val="21"/>
      <w:szCs w:val="21"/>
      <w:lang w:val="en-GB"/>
    </w:rPr>
  </w:style>
  <w:style w:type="paragraph" w:styleId="Titel">
    <w:name w:val="Title"/>
    <w:basedOn w:val="Standard"/>
    <w:next w:val="Standard"/>
    <w:link w:val="TitelZchn"/>
    <w:uiPriority w:val="10"/>
    <w:qFormat/>
    <w:rsid w:val="00484B22"/>
    <w:pPr>
      <w:spacing w:after="0" w:line="240" w:lineRule="auto"/>
      <w:contextualSpacing/>
      <w:jc w:val="center"/>
    </w:pPr>
    <w:rPr>
      <w:rFonts w:eastAsiaTheme="majorEastAsia" w:cstheme="majorBidi"/>
      <w:b/>
      <w:spacing w:val="-10"/>
      <w:kern w:val="28"/>
      <w:sz w:val="40"/>
      <w:szCs w:val="56"/>
    </w:rPr>
  </w:style>
  <w:style w:type="character" w:customStyle="1" w:styleId="TitelZchn">
    <w:name w:val="Titel Zchn"/>
    <w:basedOn w:val="Absatz-Standardschriftart"/>
    <w:link w:val="Titel"/>
    <w:uiPriority w:val="10"/>
    <w:rsid w:val="00484B22"/>
    <w:rPr>
      <w:rFonts w:eastAsiaTheme="majorEastAsia" w:cstheme="majorBidi"/>
      <w:b/>
      <w:spacing w:val="-10"/>
      <w:kern w:val="28"/>
      <w:sz w:val="40"/>
      <w:szCs w:val="56"/>
      <w:lang w:val="en-GB"/>
    </w:rPr>
  </w:style>
  <w:style w:type="paragraph" w:styleId="Inhaltsverzeichnisberschrift">
    <w:name w:val="TOC Heading"/>
    <w:basedOn w:val="berschrift1"/>
    <w:next w:val="Standard"/>
    <w:uiPriority w:val="39"/>
    <w:unhideWhenUsed/>
    <w:qFormat/>
    <w:rsid w:val="00484B22"/>
    <w:pPr>
      <w:outlineLvl w:val="9"/>
    </w:pPr>
    <w:rPr>
      <w:rFonts w:asciiTheme="majorHAnsi" w:hAnsiTheme="majorHAnsi"/>
      <w:b w:val="0"/>
      <w:color w:val="2E74B5" w:themeColor="accent1" w:themeShade="BF"/>
      <w:lang w:val="de-AT" w:eastAsia="de-AT"/>
    </w:rPr>
  </w:style>
  <w:style w:type="paragraph" w:styleId="Verzeichnis1">
    <w:name w:val="toc 1"/>
    <w:basedOn w:val="Standard"/>
    <w:next w:val="Standard"/>
    <w:autoRedefine/>
    <w:uiPriority w:val="39"/>
    <w:unhideWhenUsed/>
    <w:rsid w:val="00484B22"/>
    <w:pPr>
      <w:spacing w:after="100"/>
    </w:pPr>
  </w:style>
  <w:style w:type="character" w:styleId="Hyperlink">
    <w:name w:val="Hyperlink"/>
    <w:basedOn w:val="Absatz-Standardschriftart"/>
    <w:uiPriority w:val="99"/>
    <w:unhideWhenUsed/>
    <w:rsid w:val="00484B22"/>
    <w:rPr>
      <w:color w:val="0563C1" w:themeColor="hyperlink"/>
      <w:u w:val="single"/>
    </w:rPr>
  </w:style>
  <w:style w:type="character" w:styleId="Kommentarzeichen">
    <w:name w:val="annotation reference"/>
    <w:basedOn w:val="Absatz-Standardschriftart"/>
    <w:uiPriority w:val="99"/>
    <w:semiHidden/>
    <w:unhideWhenUsed/>
    <w:rsid w:val="0095649B"/>
    <w:rPr>
      <w:sz w:val="16"/>
      <w:szCs w:val="16"/>
    </w:rPr>
  </w:style>
  <w:style w:type="paragraph" w:styleId="Kommentartext">
    <w:name w:val="annotation text"/>
    <w:basedOn w:val="Standard"/>
    <w:link w:val="KommentartextZchn"/>
    <w:uiPriority w:val="99"/>
    <w:unhideWhenUsed/>
    <w:rsid w:val="0095649B"/>
    <w:pPr>
      <w:spacing w:line="240" w:lineRule="auto"/>
    </w:pPr>
    <w:rPr>
      <w:sz w:val="20"/>
      <w:szCs w:val="20"/>
    </w:rPr>
  </w:style>
  <w:style w:type="character" w:customStyle="1" w:styleId="KommentartextZchn">
    <w:name w:val="Kommentartext Zchn"/>
    <w:basedOn w:val="Absatz-Standardschriftart"/>
    <w:link w:val="Kommentartext"/>
    <w:uiPriority w:val="99"/>
    <w:rsid w:val="0095649B"/>
    <w:rPr>
      <w:sz w:val="20"/>
      <w:szCs w:val="20"/>
      <w:lang w:val="en-GB"/>
    </w:rPr>
  </w:style>
  <w:style w:type="paragraph" w:styleId="Kommentarthema">
    <w:name w:val="annotation subject"/>
    <w:basedOn w:val="Kommentartext"/>
    <w:next w:val="Kommentartext"/>
    <w:link w:val="KommentarthemaZchn"/>
    <w:uiPriority w:val="99"/>
    <w:semiHidden/>
    <w:unhideWhenUsed/>
    <w:rsid w:val="0095649B"/>
    <w:rPr>
      <w:b/>
      <w:bCs/>
    </w:rPr>
  </w:style>
  <w:style w:type="character" w:customStyle="1" w:styleId="KommentarthemaZchn">
    <w:name w:val="Kommentarthema Zchn"/>
    <w:basedOn w:val="KommentartextZchn"/>
    <w:link w:val="Kommentarthema"/>
    <w:uiPriority w:val="99"/>
    <w:semiHidden/>
    <w:rsid w:val="0095649B"/>
    <w:rPr>
      <w:b/>
      <w:bCs/>
      <w:sz w:val="20"/>
      <w:szCs w:val="20"/>
      <w:lang w:val="en-GB"/>
    </w:rPr>
  </w:style>
  <w:style w:type="paragraph" w:styleId="Sprechblasentext">
    <w:name w:val="Balloon Text"/>
    <w:basedOn w:val="Standard"/>
    <w:link w:val="SprechblasentextZchn"/>
    <w:uiPriority w:val="99"/>
    <w:semiHidden/>
    <w:unhideWhenUsed/>
    <w:rsid w:val="0095649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5649B"/>
    <w:rPr>
      <w:rFonts w:ascii="Segoe UI" w:hAnsi="Segoe UI" w:cs="Segoe UI"/>
      <w:sz w:val="18"/>
      <w:szCs w:val="18"/>
      <w:lang w:val="en-GB"/>
    </w:rPr>
  </w:style>
  <w:style w:type="paragraph" w:styleId="Listenabsatz">
    <w:name w:val="List Paragraph"/>
    <w:basedOn w:val="Standard"/>
    <w:uiPriority w:val="34"/>
    <w:qFormat/>
    <w:rsid w:val="00ED0A45"/>
    <w:pPr>
      <w:ind w:left="720"/>
      <w:contextualSpacing/>
    </w:pPr>
  </w:style>
  <w:style w:type="character" w:styleId="NichtaufgelsteErwhnung">
    <w:name w:val="Unresolved Mention"/>
    <w:basedOn w:val="Absatz-Standardschriftart"/>
    <w:uiPriority w:val="99"/>
    <w:semiHidden/>
    <w:unhideWhenUsed/>
    <w:rsid w:val="00D7157B"/>
    <w:rPr>
      <w:color w:val="605E5C"/>
      <w:shd w:val="clear" w:color="auto" w:fill="E1DFDD"/>
    </w:rPr>
  </w:style>
  <w:style w:type="paragraph" w:styleId="Verzeichnis2">
    <w:name w:val="toc 2"/>
    <w:basedOn w:val="Standard"/>
    <w:next w:val="Standard"/>
    <w:autoRedefine/>
    <w:uiPriority w:val="39"/>
    <w:unhideWhenUsed/>
    <w:rsid w:val="00716B3E"/>
    <w:pPr>
      <w:spacing w:after="100"/>
      <w:ind w:left="220"/>
    </w:pPr>
  </w:style>
  <w:style w:type="paragraph" w:styleId="berarbeitung">
    <w:name w:val="Revision"/>
    <w:hidden/>
    <w:uiPriority w:val="99"/>
    <w:semiHidden/>
    <w:rsid w:val="00356352"/>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932970">
      <w:bodyDiv w:val="1"/>
      <w:marLeft w:val="0"/>
      <w:marRight w:val="0"/>
      <w:marTop w:val="0"/>
      <w:marBottom w:val="0"/>
      <w:divBdr>
        <w:top w:val="none" w:sz="0" w:space="0" w:color="auto"/>
        <w:left w:val="none" w:sz="0" w:space="0" w:color="auto"/>
        <w:bottom w:val="none" w:sz="0" w:space="0" w:color="auto"/>
        <w:right w:val="none" w:sz="0" w:space="0" w:color="auto"/>
      </w:divBdr>
    </w:div>
    <w:div w:id="2122916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microsoft.com/office/2011/relationships/commentsExtended" Target="commentsExtended.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mailto:martin.beyer@uibk.ac.at" TargetMode="External"/><Relationship Id="rId19" Type="http://schemas.openxmlformats.org/officeDocument/2006/relationships/image" Target="media/image9.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4.png"/><Relationship Id="rId22"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3B5449E2-C324-4701-9AA8-7DBD409974FF}"/>
      </w:docPartPr>
      <w:docPartBody>
        <w:p w:rsidR="00D9411D" w:rsidRDefault="007C539C">
          <w:r w:rsidRPr="001719D4">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39C"/>
    <w:rsid w:val="000748B0"/>
    <w:rsid w:val="00176F20"/>
    <w:rsid w:val="001B6C3C"/>
    <w:rsid w:val="002561B8"/>
    <w:rsid w:val="00262653"/>
    <w:rsid w:val="0041059D"/>
    <w:rsid w:val="004354CE"/>
    <w:rsid w:val="0049361C"/>
    <w:rsid w:val="0049717C"/>
    <w:rsid w:val="004E1A5B"/>
    <w:rsid w:val="00523799"/>
    <w:rsid w:val="005F7E16"/>
    <w:rsid w:val="006C51B8"/>
    <w:rsid w:val="007351AC"/>
    <w:rsid w:val="00754789"/>
    <w:rsid w:val="00786163"/>
    <w:rsid w:val="007A32AD"/>
    <w:rsid w:val="007C4D1C"/>
    <w:rsid w:val="007C539C"/>
    <w:rsid w:val="008106B6"/>
    <w:rsid w:val="00830C1D"/>
    <w:rsid w:val="008D19EC"/>
    <w:rsid w:val="009547FD"/>
    <w:rsid w:val="00AF0C2D"/>
    <w:rsid w:val="00B43D58"/>
    <w:rsid w:val="00B728F9"/>
    <w:rsid w:val="00B855C8"/>
    <w:rsid w:val="00C23BE3"/>
    <w:rsid w:val="00C43354"/>
    <w:rsid w:val="00C907B6"/>
    <w:rsid w:val="00D42030"/>
    <w:rsid w:val="00D9411D"/>
    <w:rsid w:val="00DF4984"/>
    <w:rsid w:val="00E85A7C"/>
    <w:rsid w:val="00EE39D8"/>
    <w:rsid w:val="00EF5635"/>
    <w:rsid w:val="00F42C61"/>
    <w:rsid w:val="00FA4EC0"/>
    <w:rsid w:val="00FB533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AT" w:eastAsia="de-A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0748B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870041-020E-4A06-B047-64862C7CD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3067</Words>
  <Characters>19329</Characters>
  <Application>Microsoft Office Word</Application>
  <DocSecurity>0</DocSecurity>
  <Lines>161</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Salzburger, Magdalena</dc:creator>
  <cp:keywords/>
  <dc:description/>
  <cp:lastModifiedBy>Magdalena Salzburger</cp:lastModifiedBy>
  <cp:revision>6</cp:revision>
  <dcterms:created xsi:type="dcterms:W3CDTF">2025-05-04T17:31:00Z</dcterms:created>
  <dcterms:modified xsi:type="dcterms:W3CDTF">2025-08-13T21:21:00Z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CloudProjectKey=b3bt62wqrgkvlgkocx6ltabtkxg2iykiy4at2b13vswhl5k; ProjectName=ICR Literature</vt:lpwstr>
  </property>
  <property fmtid="{D5CDD505-2E9C-101B-9397-08002B2CF9AE}" pid="3" name="CitaviDocumentProperty_7">
    <vt:lpwstr>ICR Literature</vt:lpwstr>
  </property>
  <property fmtid="{D5CDD505-2E9C-101B-9397-08002B2CF9AE}" pid="4" name="CitaviDocumentProperty_0">
    <vt:lpwstr>54cca15f-c49e-4323-bb12-99cc1bd4c67f</vt:lpwstr>
  </property>
  <property fmtid="{D5CDD505-2E9C-101B-9397-08002B2CF9AE}" pid="5" name="CitaviDocumentProperty_1">
    <vt:lpwstr>7.0.7.1</vt:lpwstr>
  </property>
  <property fmtid="{D5CDD505-2E9C-101B-9397-08002B2CF9AE}" pid="6" name="CitaviDocumentProperty_6">
    <vt:lpwstr>True</vt:lpwstr>
  </property>
</Properties>
</file>