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</w:rPr>
      </w:pPr>
      <w:r w:rsidRPr="00D177BD">
        <w:rPr>
          <w:rFonts w:ascii="Times" w:hAnsi="Times"/>
          <w:b/>
        </w:rPr>
        <w:t xml:space="preserve">2.2 </w:t>
      </w:r>
      <w:r w:rsidRPr="00D177BD">
        <w:rPr>
          <w:rFonts w:ascii="Times" w:hAnsi="Times"/>
          <w:b/>
        </w:rPr>
        <w:tab/>
        <w:t>Test microorganism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2.2.1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Escherichia coli</w:t>
      </w:r>
    </w:p>
    <w:p w:rsidR="00FC2195" w:rsidRPr="00D177BD" w:rsidRDefault="00FC2195" w:rsidP="00FC2195">
      <w:pPr>
        <w:spacing w:line="360" w:lineRule="auto"/>
        <w:jc w:val="both"/>
        <w:rPr>
          <w:rFonts w:ascii="Times" w:hAnsi="Times"/>
        </w:rPr>
      </w:pPr>
      <w:r w:rsidRPr="00D177BD">
        <w:rPr>
          <w:rFonts w:ascii="Times" w:hAnsi="Times"/>
          <w:i/>
        </w:rPr>
        <w:t xml:space="preserve">Escherichia coli </w:t>
      </w:r>
      <w:r w:rsidRPr="00D177BD">
        <w:rPr>
          <w:rFonts w:ascii="Times" w:hAnsi="Times"/>
        </w:rPr>
        <w:t>are normal flora in the body of human beings and they can be non-pathogenic, commensal or pathogenic (</w:t>
      </w:r>
      <w:proofErr w:type="spellStart"/>
      <w:r w:rsidRPr="00D177BD">
        <w:rPr>
          <w:rFonts w:ascii="Times" w:hAnsi="Times"/>
        </w:rPr>
        <w:t>Kaper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>2004). When pathogenic they usually cause urinary tract infections, systematic infections and enteric infections (</w:t>
      </w:r>
      <w:proofErr w:type="spellStart"/>
      <w:r w:rsidRPr="00D177BD">
        <w:rPr>
          <w:rFonts w:ascii="Times" w:hAnsi="Times"/>
        </w:rPr>
        <w:t>Mandeli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2005). The development of resistance by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due to increase in the use of antimicrobial agents has led to the use of medicinal plants extracts against it (</w:t>
      </w:r>
      <w:proofErr w:type="spellStart"/>
      <w:r w:rsidRPr="00D177BD">
        <w:rPr>
          <w:rFonts w:ascii="Times" w:hAnsi="Times"/>
        </w:rPr>
        <w:t>Akram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 xml:space="preserve">et al., </w:t>
      </w:r>
      <w:r w:rsidRPr="00D177BD">
        <w:rPr>
          <w:rFonts w:ascii="Times" w:hAnsi="Times"/>
        </w:rPr>
        <w:t xml:space="preserve">2007). Medicinal plant extracts have shown to have antimicrobial activity against enteropathogenic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found in food material (Fullerton </w:t>
      </w:r>
      <w:r w:rsidRPr="00D177BD">
        <w:rPr>
          <w:rFonts w:ascii="Times" w:hAnsi="Times"/>
          <w:i/>
        </w:rPr>
        <w:t>et al.,</w:t>
      </w:r>
      <w:r w:rsidRPr="00D177BD">
        <w:rPr>
          <w:rFonts w:ascii="Times" w:hAnsi="Times"/>
        </w:rPr>
        <w:t xml:space="preserve"> 2011). Traditional products used in food preservation (spices) have antimicrobial activity against multiple antibiotic resistant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isolated from water (Rahman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 xml:space="preserve">). Other studies carried out on plants with a medical value such as </w:t>
      </w:r>
      <w:r w:rsidRPr="00D177BD">
        <w:rPr>
          <w:rFonts w:ascii="Times" w:hAnsi="Times"/>
          <w:i/>
        </w:rPr>
        <w:t>Allium sativum</w:t>
      </w:r>
      <w:r w:rsidRPr="00D177BD">
        <w:rPr>
          <w:rFonts w:ascii="Times" w:hAnsi="Times"/>
        </w:rPr>
        <w:t xml:space="preserve"> has shown antimicrobial activity against </w:t>
      </w:r>
      <w:r w:rsidRPr="00D177BD">
        <w:rPr>
          <w:rFonts w:ascii="Times" w:hAnsi="Times"/>
          <w:i/>
        </w:rPr>
        <w:t>Escherichia coli</w:t>
      </w:r>
      <w:r w:rsidRPr="00D177BD">
        <w:rPr>
          <w:rFonts w:ascii="Times" w:hAnsi="Times"/>
        </w:rPr>
        <w:t xml:space="preserve"> (</w:t>
      </w:r>
      <w:proofErr w:type="spellStart"/>
      <w:r w:rsidRPr="00D177BD">
        <w:rPr>
          <w:rFonts w:ascii="Times" w:hAnsi="Times"/>
        </w:rPr>
        <w:t>Ziarlarimi</w:t>
      </w:r>
      <w:proofErr w:type="spellEnd"/>
      <w:r w:rsidRPr="00D177BD">
        <w:rPr>
          <w:rFonts w:ascii="Times" w:hAnsi="Times"/>
        </w:rPr>
        <w:t xml:space="preserve"> </w:t>
      </w:r>
      <w:r w:rsidRPr="00D177BD">
        <w:rPr>
          <w:rFonts w:ascii="Times" w:hAnsi="Times"/>
          <w:i/>
        </w:rPr>
        <w:t>et al., 2011</w:t>
      </w:r>
      <w:r w:rsidRPr="00D177BD">
        <w:rPr>
          <w:rFonts w:ascii="Times" w:hAnsi="Times"/>
        </w:rPr>
        <w:t>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2.2.2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Salmonella typhi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is a Gram-negative bacterial pathogen that causes gastroenteritis in humans (Ibarra and Steele, 2009). In developing countries, it is mainly associated with causing typhoid fever (Watson and Holden, 2010). Typhoid fever is a major cause of death around the world in a limited setting and globally remains as one of the most infectious diseases (Buckle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2012). The disease is estimated to be responsible for about 26.9 million infections and 269,000 deaths in 2010 (Buckle </w:t>
      </w:r>
      <w:r>
        <w:rPr>
          <w:rFonts w:ascii="Times" w:hAnsi="Times"/>
          <w:i/>
        </w:rPr>
        <w:t>et al., 2012</w:t>
      </w:r>
      <w:r>
        <w:rPr>
          <w:rFonts w:ascii="Times" w:hAnsi="Times"/>
        </w:rPr>
        <w:t xml:space="preserve">). Studies carried out have shown that herbal extracts and dietary spices from medicinal plants have antimicrobial activity against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(Shan </w:t>
      </w:r>
      <w:r>
        <w:rPr>
          <w:rFonts w:ascii="Times" w:hAnsi="Times"/>
          <w:i/>
        </w:rPr>
        <w:t>et al., 2007</w:t>
      </w:r>
      <w:r>
        <w:rPr>
          <w:rFonts w:ascii="Times" w:hAnsi="Times"/>
        </w:rPr>
        <w:t xml:space="preserve">). Other studies have shown that herbal extracts from medicinal plants not have antimicrobial activity on </w:t>
      </w:r>
      <w:r>
        <w:rPr>
          <w:rFonts w:ascii="Times" w:hAnsi="Times"/>
          <w:i/>
        </w:rPr>
        <w:t>Salmonella typhi</w:t>
      </w:r>
      <w:r>
        <w:rPr>
          <w:rFonts w:ascii="Times" w:hAnsi="Times"/>
        </w:rPr>
        <w:t xml:space="preserve"> found in vegetables but also against other disease-causing pathogens such as  enteropathogenic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>and</w:t>
      </w:r>
      <w:r>
        <w:rPr>
          <w:rFonts w:ascii="Times" w:hAnsi="Times"/>
          <w:i/>
        </w:rPr>
        <w:t xml:space="preserve"> Listeria monocytogenes</w:t>
      </w:r>
      <w:r>
        <w:rPr>
          <w:rFonts w:ascii="Times" w:hAnsi="Times"/>
        </w:rPr>
        <w:t xml:space="preserve"> (Cutter, 2000).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  <w:i/>
        </w:rPr>
      </w:pPr>
      <w:r w:rsidRPr="00D177BD">
        <w:rPr>
          <w:rFonts w:ascii="Times" w:hAnsi="Times"/>
          <w:b/>
        </w:rPr>
        <w:t>2.2.3</w:t>
      </w:r>
      <w:r w:rsidRPr="00D177BD">
        <w:rPr>
          <w:rFonts w:ascii="Times" w:hAnsi="Times"/>
          <w:b/>
        </w:rPr>
        <w:tab/>
      </w:r>
      <w:r w:rsidRPr="00D177BD">
        <w:rPr>
          <w:rFonts w:ascii="Times" w:hAnsi="Times"/>
          <w:b/>
          <w:i/>
        </w:rPr>
        <w:t>Staphylococcus aureus</w:t>
      </w:r>
    </w:p>
    <w:p w:rsidR="00FC2195" w:rsidRPr="003A2236" w:rsidRDefault="00FC2195" w:rsidP="00FC2195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is a Gram-positive bacteria that causes skin and soft tissues infections as well as food poisoning and toxic shocks (Perez et al., 2009). The rate of mortality associated with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in developing world exceeds one of the developed countries (Nickerson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2009). The increasing use of antimicrobials against </w:t>
      </w:r>
      <w:r>
        <w:rPr>
          <w:rFonts w:ascii="Times" w:hAnsi="Times"/>
          <w:i/>
        </w:rPr>
        <w:t xml:space="preserve">Staphylococcus aureus </w:t>
      </w:r>
      <w:r>
        <w:rPr>
          <w:rFonts w:ascii="Times" w:hAnsi="Times"/>
        </w:rPr>
        <w:t xml:space="preserve">has led to the development of resistance hence need to develop new antimicrobial agent (Kwon </w:t>
      </w:r>
      <w:r>
        <w:rPr>
          <w:rFonts w:ascii="Times" w:hAnsi="Times"/>
          <w:i/>
        </w:rPr>
        <w:t>et al.,</w:t>
      </w:r>
      <w:r>
        <w:rPr>
          <w:rFonts w:ascii="Times" w:hAnsi="Times"/>
        </w:rPr>
        <w:t xml:space="preserve"> 2007). Medicinal plant extracts have shown a wide range of antimicrobial activity against both bacterial and fungal pathogens (</w:t>
      </w:r>
      <w:proofErr w:type="spellStart"/>
      <w:r>
        <w:rPr>
          <w:rFonts w:ascii="Times" w:hAnsi="Times"/>
        </w:rPr>
        <w:t>Manvi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2010). Studies carried out have shown that </w:t>
      </w:r>
      <w:r>
        <w:rPr>
          <w:rFonts w:ascii="Times" w:hAnsi="Times"/>
        </w:rPr>
        <w:lastRenderedPageBreak/>
        <w:t xml:space="preserve">some edible plants extracts also have antimicrobial activity against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 (</w:t>
      </w:r>
      <w:proofErr w:type="spellStart"/>
      <w:r>
        <w:rPr>
          <w:rFonts w:ascii="Times" w:hAnsi="Times"/>
        </w:rPr>
        <w:t>Alzoreky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 xml:space="preserve">2003). Other studies carried out have shown a great synergistic activity of plant extracts and spices when used against not only pathogenic, probiotic and food spoilage pathogens such as </w:t>
      </w:r>
      <w:r>
        <w:rPr>
          <w:rFonts w:ascii="Times" w:hAnsi="Times"/>
          <w:i/>
        </w:rPr>
        <w:t>Staphylococcus aureus</w:t>
      </w:r>
      <w:r>
        <w:rPr>
          <w:rFonts w:ascii="Times" w:hAnsi="Times"/>
        </w:rPr>
        <w:t xml:space="preserve">, </w:t>
      </w:r>
      <w:r>
        <w:rPr>
          <w:rFonts w:ascii="Times" w:hAnsi="Times"/>
          <w:i/>
        </w:rPr>
        <w:t xml:space="preserve">Escherichia coli </w:t>
      </w:r>
      <w:r>
        <w:rPr>
          <w:rFonts w:ascii="Times" w:hAnsi="Times"/>
        </w:rPr>
        <w:t xml:space="preserve">and other bacteria organisms, both Gram positive and Gram negative (Das </w:t>
      </w:r>
      <w:r>
        <w:rPr>
          <w:rFonts w:ascii="Times" w:hAnsi="Times"/>
          <w:i/>
        </w:rPr>
        <w:t xml:space="preserve">et al., </w:t>
      </w:r>
      <w:r>
        <w:rPr>
          <w:rFonts w:ascii="Times" w:hAnsi="Times"/>
        </w:rPr>
        <w:t>2012).</w:t>
      </w:r>
    </w:p>
    <w:p w:rsidR="00FC2195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2.2.4</w:t>
      </w:r>
    </w:p>
    <w:p w:rsidR="00FC2195" w:rsidRPr="002129CB" w:rsidRDefault="00FC2195" w:rsidP="00FC2195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2.2.5</w:t>
      </w:r>
    </w:p>
    <w:p w:rsidR="00FC2195" w:rsidRDefault="00FC2195"/>
    <w:p w:rsidR="009E4BA4" w:rsidRDefault="009E4BA4"/>
    <w:p w:rsidR="009E4BA4" w:rsidRPr="009E4BA4" w:rsidRDefault="009E4BA4" w:rsidP="009E4BA4">
      <w:pPr>
        <w:pStyle w:val="NormalWeb"/>
      </w:pPr>
      <w:r w:rsidRPr="009E4BA4">
        <w:rPr>
          <w:rFonts w:ascii="Helvetica" w:hAnsi="Helvetica"/>
          <w:b/>
          <w:bCs/>
        </w:rPr>
        <w:t xml:space="preserve">Preparation of EETI seed </w:t>
      </w:r>
    </w:p>
    <w:p w:rsidR="009E4BA4" w:rsidRDefault="009E4BA4" w:rsidP="009E4BA4">
      <w:pPr>
        <w:pStyle w:val="NormalWeb"/>
        <w:rPr>
          <w:rFonts w:ascii="TimesNewRomanPSMT" w:hAnsi="TimesNewRomanPSMT"/>
          <w:position w:val="6"/>
        </w:rPr>
      </w:pPr>
      <w:r w:rsidRPr="009E4BA4">
        <w:rPr>
          <w:rFonts w:ascii="TimesNewRomanPSMT" w:hAnsi="TimesNewRomanPSMT"/>
        </w:rPr>
        <w:t xml:space="preserve">The dried seed of </w:t>
      </w:r>
      <w:r w:rsidRPr="009E4BA4">
        <w:rPr>
          <w:rFonts w:ascii="TimesNewRomanPS" w:hAnsi="TimesNewRomanPS"/>
          <w:i/>
          <w:iCs/>
        </w:rPr>
        <w:t xml:space="preserve">T. </w:t>
      </w:r>
      <w:proofErr w:type="spellStart"/>
      <w:r w:rsidRPr="009E4BA4">
        <w:rPr>
          <w:rFonts w:ascii="TimesNewRomanPS" w:hAnsi="TimesNewRomanPS"/>
          <w:i/>
          <w:iCs/>
        </w:rPr>
        <w:t>indica</w:t>
      </w:r>
      <w:proofErr w:type="spellEnd"/>
      <w:r w:rsidRPr="009E4BA4">
        <w:rPr>
          <w:rFonts w:ascii="TimesNewRomanPS" w:hAnsi="TimesNewRomanPS"/>
          <w:i/>
          <w:iCs/>
        </w:rPr>
        <w:t xml:space="preserve"> </w:t>
      </w:r>
      <w:r w:rsidRPr="009E4BA4">
        <w:rPr>
          <w:rFonts w:ascii="TimesNewRomanPSMT" w:hAnsi="TimesNewRomanPSMT"/>
        </w:rPr>
        <w:t xml:space="preserve">were collected, washed, dried (oven 60°C), crushed by employing blender and convert in to powder after sieving through sieve no.80 then subjected to successive solvent extraction using ethanol at room temperature in a </w:t>
      </w:r>
      <w:proofErr w:type="spellStart"/>
      <w:r w:rsidRPr="009E4BA4">
        <w:rPr>
          <w:rFonts w:ascii="TimesNewRomanPSMT" w:hAnsi="TimesNewRomanPSMT"/>
        </w:rPr>
        <w:t>soxhlet</w:t>
      </w:r>
      <w:proofErr w:type="spellEnd"/>
      <w:r w:rsidRPr="009E4BA4">
        <w:rPr>
          <w:rFonts w:ascii="TimesNewRomanPSMT" w:hAnsi="TimesNewRomanPSMT"/>
        </w:rPr>
        <w:t xml:space="preserve"> apparatus. The extract was vacuum dried and kept in </w:t>
      </w:r>
      <w:proofErr w:type="spellStart"/>
      <w:r w:rsidRPr="009E4BA4">
        <w:rPr>
          <w:rFonts w:ascii="TimesNewRomanPSMT" w:hAnsi="TimesNewRomanPSMT"/>
        </w:rPr>
        <w:t>desicator</w:t>
      </w:r>
      <w:proofErr w:type="spellEnd"/>
      <w:r w:rsidRPr="009E4BA4">
        <w:rPr>
          <w:rFonts w:ascii="TimesNewRomanPSMT" w:hAnsi="TimesNewRomanPSMT"/>
        </w:rPr>
        <w:t xml:space="preserve"> for further studies.</w:t>
      </w:r>
      <w:r w:rsidRPr="009E4BA4">
        <w:rPr>
          <w:rFonts w:ascii="TimesNewRomanPSMT" w:hAnsi="TimesNewRomanPSMT"/>
          <w:position w:val="6"/>
        </w:rPr>
        <w:t xml:space="preserve">[13,14] </w:t>
      </w:r>
    </w:p>
    <w:p w:rsidR="009E4BA4" w:rsidRDefault="009E4BA4" w:rsidP="009E4BA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13. Gupta R, Gupta MK, Bhandari A, Gupta J. Preliminary </w:t>
      </w:r>
      <w:proofErr w:type="spellStart"/>
      <w:r>
        <w:rPr>
          <w:rFonts w:ascii="TimesNewRomanPSMT" w:hAnsi="TimesNewRomanPSMT"/>
          <w:sz w:val="20"/>
          <w:szCs w:val="20"/>
        </w:rPr>
        <w:t>pharmacognostical</w:t>
      </w:r>
      <w:proofErr w:type="spellEnd"/>
      <w:r>
        <w:rPr>
          <w:rFonts w:ascii="TimesNewRomanPSMT" w:hAnsi="TimesNewRomanPSMT"/>
          <w:sz w:val="20"/>
          <w:szCs w:val="20"/>
        </w:rPr>
        <w:t xml:space="preserve"> and physicochemical analysis: A poly </w:t>
      </w:r>
      <w:proofErr w:type="spellStart"/>
      <w:r>
        <w:rPr>
          <w:rFonts w:ascii="TimesNewRomanPSMT" w:hAnsi="TimesNewRomanPSMT"/>
          <w:sz w:val="20"/>
          <w:szCs w:val="20"/>
        </w:rPr>
        <w:t>herbomineral</w:t>
      </w:r>
      <w:proofErr w:type="spellEnd"/>
      <w:r>
        <w:rPr>
          <w:rFonts w:ascii="TimesNewRomanPSMT" w:hAnsi="TimesNewRomanPSMT"/>
          <w:sz w:val="20"/>
          <w:szCs w:val="20"/>
        </w:rPr>
        <w:t xml:space="preserve"> formulation. </w:t>
      </w:r>
      <w:proofErr w:type="spellStart"/>
      <w:r>
        <w:rPr>
          <w:rFonts w:ascii="TimesNewRomanPSMT" w:hAnsi="TimesNewRomanPSMT"/>
          <w:sz w:val="20"/>
          <w:szCs w:val="20"/>
        </w:rPr>
        <w:t>Int</w:t>
      </w:r>
      <w:proofErr w:type="spellEnd"/>
      <w:r>
        <w:rPr>
          <w:rFonts w:ascii="TimesNewRomanPSMT" w:hAnsi="TimesNewRomanPSMT"/>
          <w:sz w:val="20"/>
          <w:szCs w:val="20"/>
        </w:rPr>
        <w:t xml:space="preserve"> J Drug Dev Res 2014;6:85-92. </w:t>
      </w:r>
    </w:p>
    <w:p w:rsidR="009E4BA4" w:rsidRDefault="009E4BA4" w:rsidP="009E4BA4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14. Gupta R, Gupta MK, Bhandari A, Gupta J, Pathan IK. Preparation and standardization of </w:t>
      </w:r>
      <w:proofErr w:type="spellStart"/>
      <w:r>
        <w:rPr>
          <w:rFonts w:ascii="TimesNewRomanPSMT" w:hAnsi="TimesNewRomanPSMT"/>
          <w:sz w:val="20"/>
          <w:szCs w:val="20"/>
        </w:rPr>
        <w:t>polyherbomineral</w:t>
      </w:r>
      <w:proofErr w:type="spellEnd"/>
      <w:r>
        <w:rPr>
          <w:rFonts w:ascii="TimesNewRomanPSMT" w:hAnsi="TimesNewRomanPSMT"/>
          <w:sz w:val="20"/>
          <w:szCs w:val="20"/>
        </w:rPr>
        <w:t xml:space="preserve"> formulation. </w:t>
      </w:r>
      <w:proofErr w:type="spellStart"/>
      <w:r>
        <w:rPr>
          <w:rFonts w:ascii="TimesNewRomanPSMT" w:hAnsi="TimesNewRomanPSMT"/>
          <w:sz w:val="20"/>
          <w:szCs w:val="20"/>
        </w:rPr>
        <w:t>Int</w:t>
      </w:r>
      <w:proofErr w:type="spellEnd"/>
      <w:r>
        <w:rPr>
          <w:rFonts w:ascii="TimesNewRomanPSMT" w:hAnsi="TimesNewRomanPSMT"/>
          <w:sz w:val="20"/>
          <w:szCs w:val="20"/>
        </w:rPr>
        <w:t xml:space="preserve"> J Drug Dev Res 2014;6:211-9. </w:t>
      </w:r>
    </w:p>
    <w:p w:rsidR="009E4BA4" w:rsidRPr="009E4BA4" w:rsidRDefault="009E4BA4" w:rsidP="009E4BA4">
      <w:pPr>
        <w:pStyle w:val="NormalWeb"/>
      </w:pPr>
      <w:bookmarkStart w:id="0" w:name="_GoBack"/>
      <w:bookmarkEnd w:id="0"/>
    </w:p>
    <w:p w:rsidR="009E4BA4" w:rsidRDefault="009E4BA4"/>
    <w:sectPr w:rsidR="009E4BA4" w:rsidSect="00DB2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95"/>
    <w:rsid w:val="009E4BA4"/>
    <w:rsid w:val="00DB29AB"/>
    <w:rsid w:val="00F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4B7C3"/>
  <w15:chartTrackingRefBased/>
  <w15:docId w15:val="{F14B2ECD-A653-9143-8A06-B1BA853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B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2019-09-19T21:01:00Z</dcterms:created>
  <dcterms:modified xsi:type="dcterms:W3CDTF">2019-09-25T09:12:00Z</dcterms:modified>
</cp:coreProperties>
</file>