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tbl>
      <w:tblPr>
        <w:tblStyle w:val="Table1"/>
        <w:bidi w:val="0"/>
        <w:tblW w:w="9040.0" w:type="dxa"/>
        <w:jc w:val="left"/>
        <w:tblInd w:w="-108.0" w:type="dxa"/>
        <w:tblLayout w:type="fixed"/>
        <w:tblLook w:val="0000"/>
      </w:tblPr>
      <w:tblGrid>
        <w:gridCol w:w="2160"/>
        <w:gridCol w:w="6880"/>
        <w:tblGridChange w:id="0">
          <w:tblGrid>
            <w:gridCol w:w="2160"/>
            <w:gridCol w:w="6880"/>
          </w:tblGrid>
        </w:tblGridChange>
      </w:tblGrid>
      <w:tr>
        <w:trPr>
          <w:trHeight w:val="8220" w:hRule="atLeast"/>
        </w:trPr>
        <w:tc>
          <w:tcPr>
            <w:vAlign w:val="center"/>
          </w:tcPr>
          <w:p w:rsidR="00000000" w:rsidDel="00000000" w:rsidP="00000000" w:rsidRDefault="00000000" w:rsidRPr="00000000">
            <w:pPr>
              <w:spacing w:after="60" w:line="240" w:lineRule="auto"/>
              <w:contextualSpacing w:val="0"/>
            </w:pPr>
            <w:r w:rsidDel="00000000" w:rsidR="00000000" w:rsidRPr="00000000">
              <w:drawing>
                <wp:inline distB="114300" distT="114300" distL="114300" distR="114300">
                  <wp:extent cx="1381125" cy="138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81125" cy="13843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60" w:line="240" w:lineRule="auto"/>
              <w:contextualSpacing w:val="0"/>
            </w:pPr>
            <w:r w:rsidDel="00000000" w:rsidR="00000000" w:rsidRPr="00000000">
              <w:rPr>
                <w:rtl w:val="0"/>
              </w:rPr>
            </w:r>
          </w:p>
          <w:p w:rsidR="00000000" w:rsidDel="00000000" w:rsidP="00000000" w:rsidRDefault="00000000" w:rsidRPr="00000000">
            <w:pPr>
              <w:spacing w:after="60" w:line="240" w:lineRule="auto"/>
              <w:contextualSpacing w:val="0"/>
            </w:pPr>
            <w:r w:rsidDel="00000000" w:rsidR="00000000" w:rsidRPr="00000000">
              <w:rPr>
                <w:i w:val="1"/>
                <w:color w:val="ffffff"/>
                <w:sz w:val="28"/>
                <w:szCs w:val="28"/>
                <w:rtl w:val="0"/>
              </w:rPr>
              <w:t xml:space="preserve"> </w:t>
            </w:r>
            <w:r w:rsidDel="00000000" w:rsidR="00000000" w:rsidRPr="00000000">
              <w:rPr>
                <w:sz w:val="28"/>
                <w:szCs w:val="28"/>
                <w:u w:val="single"/>
                <w:rtl w:val="0"/>
              </w:rPr>
              <w:t xml:space="preserve">Departamento</w:t>
            </w:r>
            <w:r w:rsidDel="00000000" w:rsidR="00000000" w:rsidRPr="00000000">
              <w:rPr>
                <w:sz w:val="28"/>
                <w:szCs w:val="28"/>
                <w:rtl w:val="0"/>
              </w:rPr>
              <w:t xml:space="preserve">: Ingeniería e Investigaciones Tecnológicas</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 </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u w:val="single"/>
                <w:rtl w:val="0"/>
              </w:rPr>
              <w:t xml:space="preserve">Carrera</w:t>
            </w:r>
            <w:r w:rsidDel="00000000" w:rsidR="00000000" w:rsidRPr="00000000">
              <w:rPr>
                <w:sz w:val="28"/>
                <w:szCs w:val="28"/>
                <w:rtl w:val="0"/>
              </w:rPr>
              <w:t xml:space="preserve">: Tecnicatura en Desarrollo Web</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 </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u w:val="single"/>
                <w:rtl w:val="0"/>
              </w:rPr>
              <w:t xml:space="preserve">Materia</w:t>
            </w:r>
            <w:r w:rsidDel="00000000" w:rsidR="00000000" w:rsidRPr="00000000">
              <w:rPr>
                <w:sz w:val="28"/>
                <w:szCs w:val="28"/>
                <w:rtl w:val="0"/>
              </w:rPr>
              <w:t xml:space="preserve">: Taller Práctico Integrador</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 </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u w:val="single"/>
                <w:rtl w:val="0"/>
              </w:rPr>
              <w:t xml:space="preserve">Docentes</w:t>
            </w:r>
            <w:r w:rsidDel="00000000" w:rsidR="00000000" w:rsidRPr="00000000">
              <w:rPr>
                <w:sz w:val="28"/>
                <w:szCs w:val="28"/>
                <w:rtl w:val="0"/>
              </w:rPr>
              <w:t xml:space="preserve">:</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Ing. Cintia V. Gioia</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Ing. Gerardo Barbosa</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Lic. Juan de Cicco</w:t>
            </w:r>
          </w:p>
          <w:p w:rsidR="00000000" w:rsidDel="00000000" w:rsidP="00000000" w:rsidRDefault="00000000" w:rsidRPr="00000000">
            <w:pPr>
              <w:spacing w:after="60" w:line="240" w:lineRule="auto"/>
              <w:ind w:left="340" w:firstLine="0"/>
              <w:contextualSpacing w:val="0"/>
            </w:pPr>
            <w:r w:rsidDel="00000000" w:rsidR="00000000" w:rsidRPr="00000000">
              <w:rPr>
                <w:rtl w:val="0"/>
              </w:rPr>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u w:val="single"/>
                <w:rtl w:val="0"/>
              </w:rPr>
              <w:t xml:space="preserve">Integrantes</w:t>
            </w:r>
            <w:r w:rsidDel="00000000" w:rsidR="00000000" w:rsidRPr="00000000">
              <w:rPr>
                <w:sz w:val="28"/>
                <w:szCs w:val="28"/>
                <w:rtl w:val="0"/>
              </w:rPr>
              <w:t xml:space="preserve">:</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Gatica Karina</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Magnoni Nicolás</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Sanchez Maximiliano</w:t>
            </w:r>
          </w:p>
          <w:p w:rsidR="00000000" w:rsidDel="00000000" w:rsidP="00000000" w:rsidRDefault="00000000" w:rsidRPr="00000000">
            <w:pPr>
              <w:spacing w:after="60" w:line="240" w:lineRule="auto"/>
              <w:ind w:left="340" w:firstLine="0"/>
              <w:contextualSpacing w:val="0"/>
            </w:pPr>
            <w:r w:rsidDel="00000000" w:rsidR="00000000" w:rsidRPr="00000000">
              <w:rPr>
                <w:sz w:val="28"/>
                <w:szCs w:val="28"/>
                <w:rtl w:val="0"/>
              </w:rPr>
              <w:t xml:space="preserve">Villarroel Jonathan</w:t>
            </w:r>
          </w:p>
          <w:p w:rsidR="00000000" w:rsidDel="00000000" w:rsidP="00000000" w:rsidRDefault="00000000" w:rsidRPr="00000000">
            <w:pPr>
              <w:spacing w:after="60" w:line="240" w:lineRule="auto"/>
              <w:contextualSpacing w:val="0"/>
            </w:pPr>
            <w:r w:rsidDel="00000000" w:rsidR="00000000" w:rsidRPr="00000000">
              <w:rPr>
                <w:rtl w:val="0"/>
              </w:rPr>
            </w:r>
          </w:p>
        </w:tc>
      </w:tr>
    </w:tbl>
    <w:p w:rsidR="00000000" w:rsidDel="00000000" w:rsidP="00000000" w:rsidRDefault="00000000" w:rsidRPr="00000000">
      <w:pPr>
        <w:spacing w:after="60" w:line="240" w:lineRule="auto"/>
        <w:contextualSpacing w:val="0"/>
      </w:pPr>
      <w:r w:rsidDel="00000000" w:rsidR="00000000" w:rsidRPr="00000000">
        <w:rPr>
          <w:rtl w:val="0"/>
        </w:rPr>
      </w:r>
    </w:p>
    <w:p w:rsidR="00000000" w:rsidDel="00000000" w:rsidP="00000000" w:rsidRDefault="00000000" w:rsidRPr="00000000">
      <w:pPr>
        <w:spacing w:line="192" w:lineRule="auto"/>
        <w:ind w:firstLine="340"/>
        <w:contextualSpacing w:val="0"/>
        <w:jc w:val="center"/>
      </w:pPr>
      <w:r w:rsidDel="00000000" w:rsidR="00000000" w:rsidRPr="00000000">
        <w:rPr>
          <w:rFonts w:ascii="Rambla" w:cs="Rambla" w:eastAsia="Rambla" w:hAnsi="Rambla"/>
          <w:b w:val="1"/>
          <w:i w:val="1"/>
          <w:color w:val="800000"/>
          <w:sz w:val="44"/>
          <w:szCs w:val="44"/>
          <w:rtl w:val="0"/>
        </w:rPr>
        <w:t xml:space="preserve"> Dutymap</w:t>
      </w:r>
      <w:r w:rsidDel="00000000" w:rsidR="00000000" w:rsidRPr="00000000">
        <w:rPr>
          <w:rtl w:val="0"/>
        </w:rPr>
      </w:r>
    </w:p>
    <w:p w:rsidR="00000000" w:rsidDel="00000000" w:rsidP="00000000" w:rsidRDefault="00000000" w:rsidRPr="00000000">
      <w:pPr>
        <w:spacing w:line="192" w:lineRule="auto"/>
        <w:ind w:firstLine="340"/>
        <w:contextualSpacing w:val="0"/>
        <w:jc w:val="center"/>
      </w:pPr>
      <w:r w:rsidDel="00000000" w:rsidR="00000000" w:rsidRPr="00000000">
        <w:rPr>
          <w:rFonts w:ascii="Rambla" w:cs="Rambla" w:eastAsia="Rambla" w:hAnsi="Rambla"/>
          <w:b w:val="1"/>
          <w:i w:val="1"/>
          <w:color w:val="800000"/>
          <w:sz w:val="36"/>
          <w:szCs w:val="36"/>
          <w:rtl w:val="0"/>
        </w:rPr>
        <w:t xml:space="preserve">Requerimientos</w:t>
      </w:r>
      <w:r w:rsidDel="00000000" w:rsidR="00000000" w:rsidRPr="00000000">
        <w:rPr>
          <w:rtl w:val="0"/>
        </w:rPr>
      </w:r>
    </w:p>
    <w:p w:rsidR="00000000" w:rsidDel="00000000" w:rsidP="00000000" w:rsidRDefault="00000000" w:rsidRPr="00000000">
      <w:pPr>
        <w:spacing w:line="192" w:lineRule="auto"/>
        <w:contextualSpacing w:val="0"/>
      </w:pPr>
      <w:r w:rsidDel="00000000" w:rsidR="00000000" w:rsidRPr="00000000">
        <w:rPr>
          <w:rtl w:val="0"/>
        </w:rPr>
      </w:r>
    </w:p>
    <w:p w:rsidR="00000000" w:rsidDel="00000000" w:rsidP="00000000" w:rsidRDefault="00000000" w:rsidRPr="00000000">
      <w:pPr>
        <w:spacing w:line="192" w:lineRule="auto"/>
        <w:ind w:left="680" w:firstLine="340"/>
        <w:contextualSpacing w:val="0"/>
      </w:pPr>
      <w:r w:rsidDel="00000000" w:rsidR="00000000" w:rsidRPr="00000000">
        <w:rPr>
          <w:rFonts w:ascii="Rambla" w:cs="Rambla" w:eastAsia="Rambla" w:hAnsi="Rambla"/>
          <w:b w:val="1"/>
          <w:color w:val="800000"/>
          <w:sz w:val="28"/>
          <w:szCs w:val="28"/>
          <w:rtl w:val="0"/>
        </w:rPr>
        <w:t xml:space="preserve">Tutores: Cintia Gioia, Gerardo Barbosa.</w:t>
      </w:r>
    </w:p>
    <w:p w:rsidR="00000000" w:rsidDel="00000000" w:rsidP="00000000" w:rsidRDefault="00000000" w:rsidRPr="00000000">
      <w:pPr>
        <w:spacing w:line="192" w:lineRule="auto"/>
        <w:ind w:left="680" w:firstLine="340"/>
        <w:contextualSpacing w:val="0"/>
      </w:pPr>
      <w:r w:rsidDel="00000000" w:rsidR="00000000" w:rsidRPr="00000000">
        <w:rPr>
          <w:rFonts w:ascii="Rambla" w:cs="Rambla" w:eastAsia="Rambla" w:hAnsi="Rambla"/>
          <w:b w:val="1"/>
          <w:color w:val="800000"/>
          <w:sz w:val="28"/>
          <w:szCs w:val="28"/>
          <w:rtl w:val="0"/>
        </w:rPr>
        <w:t xml:space="preserve">Tutor Gráfico: Juan De Cicco.</w:t>
      </w:r>
    </w:p>
    <w:p w:rsidR="00000000" w:rsidDel="00000000" w:rsidP="00000000" w:rsidRDefault="00000000" w:rsidRPr="00000000">
      <w:pPr>
        <w:spacing w:line="192" w:lineRule="auto"/>
        <w:ind w:left="680" w:firstLine="340"/>
        <w:contextualSpacing w:val="0"/>
      </w:pPr>
      <w:r w:rsidDel="00000000" w:rsidR="00000000" w:rsidRPr="00000000">
        <w:rPr>
          <w:rFonts w:ascii="Rambla" w:cs="Rambla" w:eastAsia="Rambla" w:hAnsi="Rambla"/>
          <w:b w:val="1"/>
          <w:color w:val="800000"/>
          <w:sz w:val="28"/>
          <w:szCs w:val="28"/>
          <w:rtl w:val="0"/>
        </w:rPr>
        <w:t xml:space="preserve">Tutor Técnico: Matías González.</w:t>
      </w:r>
      <w:r w:rsidDel="00000000" w:rsidR="00000000" w:rsidRPr="00000000">
        <w:rPr>
          <w:rtl w:val="0"/>
        </w:rPr>
      </w:r>
    </w:p>
    <w:p w:rsidR="00000000" w:rsidDel="00000000" w:rsidP="00000000" w:rsidRDefault="00000000" w:rsidRPr="00000000">
      <w:pPr>
        <w:spacing w:after="60" w:line="240" w:lineRule="auto"/>
        <w:ind w:firstLine="340"/>
        <w:contextualSpacing w:val="0"/>
        <w:jc w:val="both"/>
      </w:pPr>
      <w:r w:rsidDel="00000000" w:rsidR="00000000" w:rsidRPr="00000000">
        <w:rPr>
          <w:rtl w:val="0"/>
        </w:rPr>
      </w:r>
    </w:p>
    <w:p w:rsidR="00000000" w:rsidDel="00000000" w:rsidP="00000000" w:rsidRDefault="00000000" w:rsidRPr="00000000">
      <w:pPr>
        <w:spacing w:after="60" w:line="240" w:lineRule="auto"/>
        <w:ind w:firstLine="340"/>
        <w:contextualSpacing w:val="0"/>
        <w:jc w:val="both"/>
      </w:pPr>
      <w:r w:rsidDel="00000000" w:rsidR="00000000" w:rsidRPr="00000000">
        <w:rPr>
          <w:rtl w:val="0"/>
        </w:rPr>
      </w:r>
    </w:p>
    <w:p w:rsidR="00000000" w:rsidDel="00000000" w:rsidP="00000000" w:rsidRDefault="00000000" w:rsidRPr="00000000">
      <w:pPr>
        <w:spacing w:after="60" w:line="240" w:lineRule="auto"/>
        <w:ind w:firstLine="340"/>
        <w:contextualSpacing w:val="0"/>
        <w:jc w:val="both"/>
      </w:pPr>
      <w:r w:rsidDel="00000000" w:rsidR="00000000" w:rsidRPr="00000000">
        <w:rPr>
          <w:rtl w:val="0"/>
        </w:rPr>
      </w:r>
    </w:p>
    <w:p w:rsidR="00000000" w:rsidDel="00000000" w:rsidP="00000000" w:rsidRDefault="00000000" w:rsidRPr="00000000">
      <w:pPr>
        <w:spacing w:after="60" w:line="240" w:lineRule="auto"/>
        <w:ind w:firstLine="340"/>
        <w:contextualSpacing w:val="0"/>
        <w:jc w:val="both"/>
      </w:pPr>
      <w:r w:rsidDel="00000000" w:rsidR="00000000" w:rsidRPr="00000000">
        <w:rPr>
          <w:rtl w:val="0"/>
        </w:rPr>
      </w:r>
    </w:p>
    <w:p w:rsidR="00000000" w:rsidDel="00000000" w:rsidP="00000000" w:rsidRDefault="00000000" w:rsidRPr="00000000">
      <w:pPr>
        <w:spacing w:after="60" w:line="240" w:lineRule="auto"/>
        <w:contextualSpacing w:val="0"/>
        <w:jc w:val="both"/>
      </w:pPr>
      <w:r w:rsidDel="00000000" w:rsidR="00000000" w:rsidRPr="00000000">
        <w:rPr>
          <w:rtl w:val="0"/>
        </w:rPr>
      </w:r>
    </w:p>
    <w:p w:rsidR="00000000" w:rsidDel="00000000" w:rsidP="00000000" w:rsidRDefault="00000000" w:rsidRPr="00000000">
      <w:pPr>
        <w:spacing w:after="60" w:line="240" w:lineRule="auto"/>
        <w:ind w:firstLine="340"/>
        <w:contextualSpacing w:val="0"/>
        <w:jc w:val="both"/>
      </w:pPr>
      <w:r w:rsidDel="00000000" w:rsidR="00000000" w:rsidRPr="00000000">
        <w:rPr>
          <w:rtl w:val="0"/>
        </w:rPr>
      </w:r>
    </w:p>
    <w:p w:rsidR="00000000" w:rsidDel="00000000" w:rsidP="00000000" w:rsidRDefault="00000000" w:rsidRPr="00000000">
      <w:pPr>
        <w:spacing w:line="192" w:lineRule="auto"/>
        <w:ind w:firstLine="340"/>
        <w:contextualSpacing w:val="0"/>
        <w:jc w:val="center"/>
      </w:pPr>
      <w:r w:rsidDel="00000000" w:rsidR="00000000" w:rsidRPr="00000000">
        <w:rPr>
          <w:rFonts w:ascii="Rambla" w:cs="Rambla" w:eastAsia="Rambla" w:hAnsi="Rambla"/>
          <w:b w:val="1"/>
          <w:color w:val="800000"/>
          <w:sz w:val="28"/>
          <w:szCs w:val="28"/>
          <w:rtl w:val="0"/>
        </w:rPr>
        <w:t xml:space="preserve">2016 1C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Login</w:t>
      </w:r>
      <w:r w:rsidDel="00000000" w:rsidR="00000000" w:rsidRPr="00000000">
        <w:rPr>
          <w:rFonts w:ascii="Verdana" w:cs="Verdana" w:eastAsia="Verdana" w:hAnsi="Verdan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usua</w:t>
      </w:r>
      <w:r w:rsidDel="00000000" w:rsidR="00000000" w:rsidRPr="00000000">
        <w:rPr>
          <w:rFonts w:ascii="Verdana" w:cs="Verdana" w:eastAsia="Verdana" w:hAnsi="Verdana"/>
          <w:rtl w:val="0"/>
        </w:rPr>
        <w:t xml:space="preserve">rio nuevo tendr</w:t>
      </w:r>
      <w:r w:rsidDel="00000000" w:rsidR="00000000" w:rsidRPr="00000000">
        <w:rPr>
          <w:rFonts w:ascii="Verdana" w:cs="Verdana" w:eastAsia="Verdana" w:hAnsi="Verdana"/>
          <w:rtl w:val="0"/>
        </w:rPr>
        <w:t xml:space="preserve">á</w:t>
      </w:r>
      <w:r w:rsidDel="00000000" w:rsidR="00000000" w:rsidRPr="00000000">
        <w:rPr>
          <w:rFonts w:ascii="Verdana" w:cs="Verdana" w:eastAsia="Verdana" w:hAnsi="Verdana"/>
          <w:rtl w:val="0"/>
        </w:rPr>
        <w:t xml:space="preserve"> un formulario de registro. Para luego poder autenticarse con su correo electrónico y contraseña.</w:t>
      </w:r>
    </w:p>
    <w:p w:rsidR="00000000" w:rsidDel="00000000" w:rsidP="00000000" w:rsidRDefault="00000000" w:rsidRPr="00000000">
      <w:pPr>
        <w:numPr>
          <w:ilvl w:val="1"/>
          <w:numId w:val="6"/>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proveedor puede utilizar las funcionalidades de la cuenta usuario si lo necesitase.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Proveedor: ofrecimiento del servicio y administración del mismo</w:t>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En el perfil se visualizan los servicios, calificaciones e información del proveedor.</w:t>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sistema posee una sección de administración de servicios para el proveedor.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Búsqueda de servicios</w:t>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Los servicios pueden ser consultados por todos los usuarios.</w:t>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La búsqueda del servicio se realiza mediante un buscador con la posibilidad de elegirlo </w:t>
      </w:r>
      <w:r w:rsidDel="00000000" w:rsidR="00000000" w:rsidRPr="00000000">
        <w:rPr>
          <w:rFonts w:ascii="Verdana" w:cs="Verdana" w:eastAsia="Verdana" w:hAnsi="Verdana"/>
          <w:rtl w:val="0"/>
        </w:rPr>
        <w:t xml:space="preserve">mediante un mapa</w:t>
      </w:r>
      <w:r w:rsidDel="00000000" w:rsidR="00000000" w:rsidRPr="00000000">
        <w:rPr>
          <w:rFonts w:ascii="Verdana" w:cs="Verdana" w:eastAsia="Verdana" w:hAnsi="Verdana"/>
          <w:rtl w:val="0"/>
        </w:rPr>
        <w:t xml:space="preserve"> o una lista de proveedores.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sistema mostrará en el mapa la ubicación de los proveedores que brinden sus servicios en la zona de búsqueda.</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Existen filtros para la búsqueda por ubicación, residencia,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tipo de cuenta y categoría de servicio.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Cuentas</w:t>
      </w:r>
    </w:p>
    <w:p w:rsidR="00000000" w:rsidDel="00000000" w:rsidP="00000000" w:rsidRDefault="00000000" w:rsidRPr="00000000">
      <w:pPr>
        <w:numPr>
          <w:ilvl w:val="1"/>
          <w:numId w:val="7"/>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Posicionamiento en sector destacado por cantidad de feedbacks positivos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proveedor que brinde servicios en un local o domicilio particular dispone de un mapa para destacarse en una búsqueda.</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usuario al registrarse por primera vez, obtiene los beneficios de la cuenta premium por un mes.</w:t>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sistema debe promocionar en la aplicación a aquellos proveedores que posean cuenta premium.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Acuerdos y presupuestos</w:t>
      </w:r>
    </w:p>
    <w:p w:rsidR="00000000" w:rsidDel="00000000" w:rsidP="00000000" w:rsidRDefault="00000000" w:rsidRPr="00000000">
      <w:pPr>
        <w:numPr>
          <w:ilvl w:val="1"/>
          <w:numId w:val="4"/>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Un usuario puede solicitar un presupuesto</w:t>
      </w:r>
      <w:r w:rsidDel="00000000" w:rsidR="00000000" w:rsidRPr="00000000">
        <w:rPr>
          <w:rFonts w:ascii="Verdana" w:cs="Verdana" w:eastAsia="Verdana" w:hAnsi="Verdana"/>
          <w:rtl w:val="0"/>
        </w:rPr>
        <w:t xml:space="preserve"> a cualquier proveedor.</w:t>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sistema, en caso de que el proveedor no responda la solicitud de pedido de servicio al cabo de 10 cantidad de días, se cancela la misma/le otorga la posibilidad al usuario de cancelar el pedido de servicio o extenderlo en tiempo por 10 días más.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Verdana" w:cs="Verdana" w:eastAsia="Verdana" w:hAnsi="Verdana"/>
          <w:i w:val="1"/>
        </w:rPr>
      </w:pPr>
      <w:r w:rsidDel="00000000" w:rsidR="00000000" w:rsidRPr="00000000">
        <w:rPr>
          <w:rFonts w:ascii="Verdana" w:cs="Verdana" w:eastAsia="Verdana" w:hAnsi="Verdana"/>
          <w:rtl w:val="0"/>
        </w:rPr>
        <w:t xml:space="preserve">El sistema contempla los días previos a la fecha pactada para cancelar el servicio. Superado este margen, el servicio, queda cancelado. El usuario puede comentar y calificar sobre lo sucedido.</w:t>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Tanto los clientes como los vendedores deben poseer un historial de transacciones</w:t>
      </w:r>
      <w:r w:rsidDel="00000000" w:rsidR="00000000" w:rsidRPr="00000000">
        <w:rPr>
          <w:rFonts w:ascii="Verdana" w:cs="Verdana" w:eastAsia="Verdana" w:hAnsi="Verdana"/>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Valoración del contratista o proveedor</w:t>
      </w:r>
    </w:p>
    <w:p w:rsidR="00000000" w:rsidDel="00000000" w:rsidP="00000000" w:rsidRDefault="00000000" w:rsidRPr="00000000">
      <w:pPr>
        <w:numPr>
          <w:ilvl w:val="1"/>
          <w:numId w:val="8"/>
        </w:numPr>
        <w:ind w:left="1440" w:hanging="360"/>
        <w:contextualSpacing w:val="1"/>
        <w:rPr>
          <w:rFonts w:ascii="Verdana" w:cs="Verdana" w:eastAsia="Verdana" w:hAnsi="Verdana"/>
          <w:color w:val="38761d"/>
        </w:rPr>
      </w:pPr>
      <w:r w:rsidDel="00000000" w:rsidR="00000000" w:rsidRPr="00000000">
        <w:rPr>
          <w:rFonts w:ascii="Verdana" w:cs="Verdana" w:eastAsia="Verdana" w:hAnsi="Verdana"/>
          <w:rtl w:val="0"/>
        </w:rPr>
        <w:t xml:space="preserve">El sistema debe permitirle al usuario, una vez concretado el servicio, evaluar al proveedor según los aspectos de la categoría del servicio por ejemplo confiabilidad, desempeño, consideración, puntualidad, incluyendo un comentario opcional</w:t>
      </w:r>
      <w:r w:rsidDel="00000000" w:rsidR="00000000" w:rsidRPr="00000000">
        <w:rPr>
          <w:rFonts w:ascii="Verdana" w:cs="Verdana" w:eastAsia="Verdana" w:hAnsi="Verdana"/>
          <w:color w:val="38761d"/>
          <w:rtl w:val="0"/>
        </w:rPr>
        <w:t xml:space="preserve"> </w:t>
      </w:r>
      <w:r w:rsidDel="00000000" w:rsidR="00000000" w:rsidRPr="00000000">
        <w:rPr>
          <w:rFonts w:ascii="Verdana" w:cs="Verdana" w:eastAsia="Verdana" w:hAnsi="Verdana"/>
          <w:rtl w:val="0"/>
        </w:rPr>
        <w:t xml:space="preserve">así como también el proveedor podrá evaluar al usuario una vez finalizado el mismo.</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El sistema de valoración será de 1 a 5 </w:t>
      </w:r>
      <w:r w:rsidDel="00000000" w:rsidR="00000000" w:rsidRPr="00000000">
        <w:rPr>
          <w:rFonts w:ascii="Verdana" w:cs="Verdana" w:eastAsia="Verdana" w:hAnsi="Verdana"/>
          <w:i w:val="1"/>
          <w:rtl w:val="0"/>
        </w:rPr>
        <w:t xml:space="preserve">dutys</w:t>
      </w:r>
      <w:r w:rsidDel="00000000" w:rsidR="00000000" w:rsidRPr="00000000">
        <w:rPr>
          <w:rFonts w:ascii="Verdana" w:cs="Verdana" w:eastAsia="Verdana" w:hAnsi="Verdana"/>
          <w:rtl w:val="0"/>
        </w:rPr>
        <w:t xml:space="preserve">, en donde un </w:t>
      </w:r>
      <w:r w:rsidDel="00000000" w:rsidR="00000000" w:rsidRPr="00000000">
        <w:rPr>
          <w:rFonts w:ascii="Verdana" w:cs="Verdana" w:eastAsia="Verdana" w:hAnsi="Verdana"/>
          <w:i w:val="1"/>
          <w:rtl w:val="0"/>
        </w:rPr>
        <w:t xml:space="preserve">duty </w:t>
      </w:r>
      <w:r w:rsidDel="00000000" w:rsidR="00000000" w:rsidRPr="00000000">
        <w:rPr>
          <w:rFonts w:ascii="Verdana" w:cs="Verdana" w:eastAsia="Verdana" w:hAnsi="Verdana"/>
          <w:rtl w:val="0"/>
        </w:rPr>
        <w:t xml:space="preserve">será considerado un punto.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rFonts w:ascii="Verdana" w:cs="Verdana" w:eastAsia="Verdana" w:hAnsi="Verdana"/>
        </w:rPr>
      </w:pPr>
      <w:r w:rsidDel="00000000" w:rsidR="00000000" w:rsidRPr="00000000">
        <w:rPr>
          <w:rFonts w:ascii="Verdana" w:cs="Verdana" w:eastAsia="Verdana" w:hAnsi="Verdana"/>
          <w:rtl w:val="0"/>
        </w:rPr>
        <w:t xml:space="preserve">Seguridad</w:t>
      </w:r>
    </w:p>
    <w:p w:rsidR="00000000" w:rsidDel="00000000" w:rsidP="00000000" w:rsidRDefault="00000000" w:rsidRPr="00000000">
      <w:pPr>
        <w:numPr>
          <w:ilvl w:val="1"/>
          <w:numId w:val="5"/>
        </w:numPr>
        <w:ind w:left="1440" w:hanging="360"/>
        <w:contextualSpacing w:val="1"/>
        <w:jc w:val="left"/>
        <w:rPr>
          <w:rFonts w:ascii="Verdana" w:cs="Verdana" w:eastAsia="Verdana" w:hAnsi="Verdana"/>
        </w:rPr>
      </w:pPr>
      <w:r w:rsidDel="00000000" w:rsidR="00000000" w:rsidRPr="00000000">
        <w:rPr>
          <w:rFonts w:ascii="Verdana" w:cs="Verdana" w:eastAsia="Verdana" w:hAnsi="Verdana"/>
          <w:rtl w:val="0"/>
        </w:rPr>
        <w:t xml:space="preserve">Las contraseñas del usuario registrado serán encriptadas, al guardar.</w:t>
      </w:r>
    </w:p>
    <w:p w:rsidR="00000000" w:rsidDel="00000000" w:rsidP="00000000" w:rsidRDefault="00000000" w:rsidRPr="00000000">
      <w:pPr>
        <w:numPr>
          <w:ilvl w:val="1"/>
          <w:numId w:val="5"/>
        </w:numPr>
        <w:ind w:left="1440" w:hanging="360"/>
        <w:contextualSpacing w:val="1"/>
        <w:jc w:val="left"/>
        <w:rPr>
          <w:rFonts w:ascii="Verdana" w:cs="Verdana" w:eastAsia="Verdana" w:hAnsi="Verdana"/>
        </w:rPr>
      </w:pPr>
      <w:r w:rsidDel="00000000" w:rsidR="00000000" w:rsidRPr="00000000">
        <w:rPr>
          <w:rFonts w:ascii="Verdana" w:cs="Verdana" w:eastAsia="Verdana" w:hAnsi="Verdana"/>
          <w:rtl w:val="0"/>
        </w:rPr>
        <w:t xml:space="preserve">Contará con un sistema de recuperación de usuario o contraseña a través del correo electrónico con el que se registró.</w:t>
      </w:r>
    </w:p>
    <w:p w:rsidR="00000000" w:rsidDel="00000000" w:rsidP="00000000" w:rsidRDefault="00000000" w:rsidRPr="00000000">
      <w:pPr>
        <w:numPr>
          <w:ilvl w:val="1"/>
          <w:numId w:val="5"/>
        </w:numPr>
        <w:ind w:left="1440" w:hanging="360"/>
        <w:contextualSpacing w:val="1"/>
        <w:jc w:val="left"/>
        <w:rPr>
          <w:rFonts w:ascii="Verdana" w:cs="Verdana" w:eastAsia="Verdana" w:hAnsi="Verdana"/>
        </w:rPr>
      </w:pPr>
      <w:r w:rsidDel="00000000" w:rsidR="00000000" w:rsidRPr="00000000">
        <w:rPr>
          <w:rFonts w:ascii="Verdana" w:cs="Verdana" w:eastAsia="Verdana" w:hAnsi="Verdana"/>
          <w:rtl w:val="0"/>
        </w:rPr>
        <w:t xml:space="preserve">El formulario de registro poseerá un captcha.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ahoma">
    <w:embedRegular w:fontKey="{00000000-0000-0000-0000-000000000000}" r:id="rId1" w:subsetted="0"/>
    <w:embedBold w:fontKey="{00000000-0000-0000-0000-000000000000}" r:id="rId2" w:subsetted="0"/>
  </w:font>
  <w:font w:name="Rambl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0"/>
        <w:tab w:val="right" w:pos="8460"/>
      </w:tabs>
      <w:spacing w:line="240" w:lineRule="auto"/>
      <w:ind w:right="44" w:hanging="3"/>
      <w:contextualSpacing w:val="0"/>
    </w:pPr>
    <w:r w:rsidDel="00000000" w:rsidR="00000000" w:rsidRPr="00000000">
      <w:rPr>
        <w:rFonts w:ascii="Tahoma" w:cs="Tahoma" w:eastAsia="Tahoma" w:hAnsi="Tahoma"/>
        <w:sz w:val="18"/>
        <w:szCs w:val="18"/>
        <w:rtl w:val="0"/>
      </w:rPr>
      <w:t xml:space="preserve">Tecnicatura Desarrollo Web - UNLAM </w:t>
      <w:tab/>
      <w:t xml:space="preserve">pág. </w:t>
    </w:r>
    <w:fldSimple w:instr="PAGE" w:fldLock="0" w:dirty="0">
      <w:r w:rsidDel="00000000" w:rsidR="00000000" w:rsidRPr="00000000">
        <w:rPr>
          <w:rFonts w:ascii="Tahoma" w:cs="Tahoma" w:eastAsia="Tahoma" w:hAnsi="Tahoma"/>
          <w:sz w:val="18"/>
          <w:szCs w:val="18"/>
        </w:rPr>
      </w:r>
    </w:fldSimple>
    <w:r w:rsidDel="00000000" w:rsidR="00000000" w:rsidRPr="00000000">
      <w:rPr>
        <w:rFonts w:ascii="Tahoma" w:cs="Tahoma" w:eastAsia="Tahoma" w:hAnsi="Tahoma"/>
        <w:sz w:val="18"/>
        <w:szCs w:val="18"/>
        <w:rtl w:val="0"/>
      </w:rPr>
      <w:t xml:space="preserve">/</w:t>
    </w:r>
    <w:fldSimple w:instr="NUMPAGES" w:fldLock="0" w:dirty="0">
      <w:r w:rsidDel="00000000" w:rsidR="00000000" w:rsidRPr="00000000">
        <w:rPr>
          <w:rFonts w:ascii="Tahoma" w:cs="Tahoma" w:eastAsia="Tahoma" w:hAnsi="Tahoma"/>
          <w:sz w:val="18"/>
          <w:szCs w:val="18"/>
        </w:rPr>
      </w:r>
    </w:fldSimple>
    <w:r w:rsidDel="00000000" w:rsidR="00000000" w:rsidRPr="00000000">
      <w:rPr>
        <w:rtl w:val="0"/>
      </w:rPr>
    </w:r>
  </w:p>
  <w:p w:rsidR="00000000" w:rsidDel="00000000" w:rsidP="00000000" w:rsidRDefault="00000000" w:rsidRPr="00000000">
    <w:pPr>
      <w:tabs>
        <w:tab w:val="center" w:pos="2880"/>
        <w:tab w:val="right" w:pos="7560"/>
      </w:tabs>
      <w:spacing w:after="720" w:line="240" w:lineRule="auto"/>
      <w:ind w:right="44" w:hanging="3"/>
      <w:contextualSpacing w:val="0"/>
    </w:pPr>
    <w:r w:rsidDel="00000000" w:rsidR="00000000" w:rsidRPr="00000000">
      <w:rPr>
        <w:rFonts w:ascii="Tahoma" w:cs="Tahoma" w:eastAsia="Tahoma" w:hAnsi="Tahoma"/>
        <w:sz w:val="18"/>
        <w:szCs w:val="18"/>
        <w:rtl w:val="0"/>
      </w:rPr>
      <w:t xml:space="preserve">Proyecto para Taller Práctico Integrador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sz w:val="20"/>
        <w:szCs w:val="20"/>
        <w:rtl w:val="0"/>
      </w:rPr>
      <w:t xml:space="preserve">Requerimientos - Taller Práctico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Rambla-regular.ttf"/><Relationship Id="rId4" Type="http://schemas.openxmlformats.org/officeDocument/2006/relationships/font" Target="fonts/Rambla-bold.ttf"/><Relationship Id="rId5" Type="http://schemas.openxmlformats.org/officeDocument/2006/relationships/font" Target="fonts/Rambla-italic.ttf"/><Relationship Id="rId6" Type="http://schemas.openxmlformats.org/officeDocument/2006/relationships/font" Target="fonts/Rambla-boldItalic.ttf"/></Relationships>
</file>