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B7F" w:rsidRPr="008A7B7F" w:rsidRDefault="008A7B7F" w:rsidP="008A7B7F">
      <w:pPr>
        <w:spacing w:before="100" w:beforeAutospacing="1" w:after="100" w:afterAutospacing="1" w:line="240" w:lineRule="auto"/>
        <w:jc w:val="both"/>
        <w:outlineLvl w:val="3"/>
        <w:rPr>
          <w:rFonts w:eastAsia="Times New Roman" w:cs="Times New Roman"/>
          <w:b/>
          <w:bCs/>
          <w:sz w:val="40"/>
          <w:szCs w:val="40"/>
          <w:lang w:eastAsia="en-IN"/>
        </w:rPr>
      </w:pPr>
      <w:r w:rsidRPr="008A7B7F">
        <w:rPr>
          <w:rFonts w:eastAsia="Times New Roman" w:cs="Times New Roman"/>
          <w:b/>
          <w:bCs/>
          <w:sz w:val="40"/>
          <w:szCs w:val="40"/>
          <w:lang w:eastAsia="en-IN"/>
        </w:rPr>
        <w:t xml:space="preserve">Topic: Low Molecular Weight </w:t>
      </w:r>
      <w:proofErr w:type="spellStart"/>
      <w:r w:rsidRPr="008A7B7F">
        <w:rPr>
          <w:rFonts w:eastAsia="Times New Roman" w:cs="Times New Roman"/>
          <w:b/>
          <w:bCs/>
          <w:sz w:val="40"/>
          <w:szCs w:val="40"/>
          <w:lang w:eastAsia="en-IN"/>
        </w:rPr>
        <w:t>Gelators</w:t>
      </w:r>
      <w:proofErr w:type="spellEnd"/>
      <w:r w:rsidRPr="008A7B7F">
        <w:rPr>
          <w:rFonts w:eastAsia="Times New Roman" w:cs="Times New Roman"/>
          <w:b/>
          <w:bCs/>
          <w:sz w:val="40"/>
          <w:szCs w:val="40"/>
          <w:lang w:eastAsia="en-IN"/>
        </w:rPr>
        <w:t xml:space="preserve"> (LMWGs) in Drug Delivery</w:t>
      </w:r>
    </w:p>
    <w:p w:rsidR="008A7B7F" w:rsidRPr="008A7B7F" w:rsidRDefault="008A7B7F" w:rsidP="008A7B7F">
      <w:pPr>
        <w:spacing w:before="100" w:beforeAutospacing="1" w:after="100" w:afterAutospacing="1" w:line="240" w:lineRule="auto"/>
        <w:jc w:val="both"/>
        <w:rPr>
          <w:rFonts w:eastAsia="Times New Roman" w:cs="Times New Roman"/>
          <w:sz w:val="36"/>
          <w:szCs w:val="36"/>
          <w:lang w:eastAsia="en-IN"/>
        </w:rPr>
      </w:pPr>
      <w:r w:rsidRPr="008A7B7F">
        <w:rPr>
          <w:rFonts w:eastAsia="Times New Roman" w:cs="Times New Roman"/>
          <w:b/>
          <w:bCs/>
          <w:sz w:val="36"/>
          <w:szCs w:val="36"/>
          <w:lang w:eastAsia="en-IN"/>
        </w:rPr>
        <w:t>Summary:</w:t>
      </w:r>
    </w:p>
    <w:p w:rsidR="008A7B7F" w:rsidRPr="008A7B7F" w:rsidRDefault="008A7B7F" w:rsidP="008A7B7F">
      <w:pPr>
        <w:spacing w:beforeAutospacing="1" w:after="100" w:afterAutospacing="1" w:line="240" w:lineRule="auto"/>
        <w:jc w:val="both"/>
        <w:rPr>
          <w:rFonts w:eastAsia="Times New Roman" w:cs="Times New Roman"/>
          <w:sz w:val="24"/>
          <w:szCs w:val="24"/>
          <w:lang w:eastAsia="en-IN"/>
        </w:rPr>
      </w:pPr>
      <w:r w:rsidRPr="008A7B7F">
        <w:rPr>
          <w:rFonts w:eastAsia="Times New Roman" w:cs="Times New Roman"/>
          <w:sz w:val="24"/>
          <w:szCs w:val="24"/>
          <w:lang w:eastAsia="en-IN"/>
        </w:rPr>
        <w:t xml:space="preserve">LMWGs are small organic molecules that self-assemble into gel networks. In drug delivery, they are used to encapsulate drugs, control release rates, and enhance biocompatibility. The field has seen growing interest since 2015, particularly in peptide-based </w:t>
      </w:r>
      <w:proofErr w:type="spellStart"/>
      <w:r w:rsidRPr="008A7B7F">
        <w:rPr>
          <w:rFonts w:eastAsia="Times New Roman" w:cs="Times New Roman"/>
          <w:sz w:val="24"/>
          <w:szCs w:val="24"/>
          <w:lang w:eastAsia="en-IN"/>
        </w:rPr>
        <w:t>gelators</w:t>
      </w:r>
      <w:proofErr w:type="spellEnd"/>
      <w:r w:rsidRPr="008A7B7F">
        <w:rPr>
          <w:rFonts w:eastAsia="Times New Roman" w:cs="Times New Roman"/>
          <w:sz w:val="24"/>
          <w:szCs w:val="24"/>
          <w:lang w:eastAsia="en-IN"/>
        </w:rPr>
        <w:t>.</w:t>
      </w:r>
    </w:p>
    <w:p w:rsidR="001B2F99" w:rsidRDefault="001B2F99" w:rsidP="001B2F99">
      <w:pPr>
        <w:spacing w:before="100" w:beforeAutospacing="1" w:after="100" w:afterAutospacing="1" w:line="240" w:lineRule="auto"/>
        <w:ind w:left="720"/>
        <w:jc w:val="both"/>
        <w:rPr>
          <w:rFonts w:ascii="Segoe UI Emoji" w:eastAsia="Times New Roman" w:hAnsi="Segoe UI Emoji" w:cs="Segoe UI Emoji"/>
          <w:b/>
          <w:bCs/>
          <w:sz w:val="24"/>
          <w:szCs w:val="24"/>
          <w:lang w:eastAsia="en-IN"/>
        </w:rPr>
      </w:pPr>
    </w:p>
    <w:p w:rsidR="001B2F99" w:rsidRPr="001B2F99" w:rsidRDefault="001B2F99" w:rsidP="001B2F99">
      <w:pPr>
        <w:spacing w:before="100" w:beforeAutospacing="1" w:after="100" w:afterAutospacing="1" w:line="240" w:lineRule="auto"/>
        <w:ind w:left="720"/>
        <w:jc w:val="both"/>
        <w:rPr>
          <w:rFonts w:eastAsia="Times New Roman" w:cs="Times New Roman"/>
          <w:b/>
          <w:sz w:val="40"/>
          <w:szCs w:val="40"/>
          <w:lang w:eastAsia="en-IN"/>
        </w:rPr>
      </w:pPr>
      <w:r w:rsidRPr="001B2F99">
        <w:rPr>
          <w:rFonts w:eastAsia="Times New Roman" w:cs="Times New Roman"/>
          <w:b/>
          <w:sz w:val="40"/>
          <w:szCs w:val="40"/>
          <w:lang w:eastAsia="en-IN"/>
        </w:rPr>
        <w:t>Research Rabbit</w:t>
      </w:r>
    </w:p>
    <w:p w:rsidR="008A7B7F" w:rsidRDefault="008A7B7F" w:rsidP="008A7B7F">
      <w:pPr>
        <w:spacing w:before="100" w:beforeAutospacing="1" w:after="100" w:afterAutospacing="1" w:line="240" w:lineRule="auto"/>
        <w:ind w:left="720"/>
        <w:jc w:val="both"/>
        <w:rPr>
          <w:rFonts w:eastAsia="Times New Roman" w:cs="Times New Roman"/>
          <w:sz w:val="24"/>
          <w:szCs w:val="24"/>
          <w:lang w:eastAsia="en-IN"/>
        </w:rPr>
      </w:pPr>
      <w:r>
        <w:rPr>
          <w:noProof/>
        </w:rPr>
        <w:drawing>
          <wp:inline distT="0" distB="0" distL="0" distR="0" wp14:anchorId="10261FD4" wp14:editId="1ED9A35C">
            <wp:extent cx="5731510" cy="28187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18765"/>
                    </a:xfrm>
                    <a:prstGeom prst="rect">
                      <a:avLst/>
                    </a:prstGeom>
                  </pic:spPr>
                </pic:pic>
              </a:graphicData>
            </a:graphic>
          </wp:inline>
        </w:drawing>
      </w:r>
    </w:p>
    <w:p w:rsidR="001B2F99" w:rsidRDefault="001B2F99" w:rsidP="008A7B7F">
      <w:pPr>
        <w:spacing w:before="100" w:beforeAutospacing="1" w:after="100" w:afterAutospacing="1" w:line="240" w:lineRule="auto"/>
        <w:ind w:left="720"/>
        <w:jc w:val="both"/>
        <w:rPr>
          <w:rFonts w:eastAsia="Times New Roman" w:cs="Times New Roman"/>
          <w:sz w:val="24"/>
          <w:szCs w:val="24"/>
          <w:lang w:eastAsia="en-IN"/>
        </w:rPr>
      </w:pPr>
    </w:p>
    <w:p w:rsidR="001B2F99" w:rsidRDefault="001B2F99" w:rsidP="008A7B7F">
      <w:pPr>
        <w:spacing w:before="100" w:beforeAutospacing="1" w:after="100" w:afterAutospacing="1" w:line="240" w:lineRule="auto"/>
        <w:ind w:left="720"/>
        <w:jc w:val="both"/>
        <w:rPr>
          <w:rFonts w:eastAsia="Times New Roman" w:cs="Times New Roman"/>
          <w:b/>
          <w:sz w:val="40"/>
          <w:szCs w:val="40"/>
          <w:lang w:eastAsia="en-IN"/>
        </w:rPr>
      </w:pPr>
    </w:p>
    <w:p w:rsidR="001B2F99" w:rsidRDefault="001B2F99" w:rsidP="008A7B7F">
      <w:pPr>
        <w:spacing w:before="100" w:beforeAutospacing="1" w:after="100" w:afterAutospacing="1" w:line="240" w:lineRule="auto"/>
        <w:ind w:left="720"/>
        <w:jc w:val="both"/>
        <w:rPr>
          <w:rFonts w:eastAsia="Times New Roman" w:cs="Times New Roman"/>
          <w:b/>
          <w:sz w:val="40"/>
          <w:szCs w:val="40"/>
          <w:lang w:eastAsia="en-IN"/>
        </w:rPr>
      </w:pPr>
    </w:p>
    <w:p w:rsidR="001B2F99" w:rsidRDefault="001B2F99" w:rsidP="008A7B7F">
      <w:pPr>
        <w:spacing w:before="100" w:beforeAutospacing="1" w:after="100" w:afterAutospacing="1" w:line="240" w:lineRule="auto"/>
        <w:ind w:left="720"/>
        <w:jc w:val="both"/>
        <w:rPr>
          <w:rFonts w:eastAsia="Times New Roman" w:cs="Times New Roman"/>
          <w:b/>
          <w:sz w:val="40"/>
          <w:szCs w:val="40"/>
          <w:lang w:eastAsia="en-IN"/>
        </w:rPr>
      </w:pPr>
    </w:p>
    <w:p w:rsidR="001B2F99" w:rsidRDefault="001B2F99" w:rsidP="008A7B7F">
      <w:pPr>
        <w:spacing w:before="100" w:beforeAutospacing="1" w:after="100" w:afterAutospacing="1" w:line="240" w:lineRule="auto"/>
        <w:ind w:left="720"/>
        <w:jc w:val="both"/>
        <w:rPr>
          <w:rFonts w:eastAsia="Times New Roman" w:cs="Times New Roman"/>
          <w:b/>
          <w:sz w:val="40"/>
          <w:szCs w:val="40"/>
          <w:lang w:eastAsia="en-IN"/>
        </w:rPr>
      </w:pPr>
    </w:p>
    <w:p w:rsidR="001B2F99" w:rsidRDefault="001B2F99" w:rsidP="008A7B7F">
      <w:pPr>
        <w:spacing w:before="100" w:beforeAutospacing="1" w:after="100" w:afterAutospacing="1" w:line="240" w:lineRule="auto"/>
        <w:ind w:left="720"/>
        <w:jc w:val="both"/>
        <w:rPr>
          <w:rFonts w:eastAsia="Times New Roman" w:cs="Times New Roman"/>
          <w:b/>
          <w:sz w:val="40"/>
          <w:szCs w:val="40"/>
          <w:lang w:eastAsia="en-IN"/>
        </w:rPr>
      </w:pPr>
    </w:p>
    <w:p w:rsidR="001B2F99" w:rsidRPr="001B2F99" w:rsidRDefault="001B2F99" w:rsidP="008A7B7F">
      <w:pPr>
        <w:spacing w:before="100" w:beforeAutospacing="1" w:after="100" w:afterAutospacing="1" w:line="240" w:lineRule="auto"/>
        <w:ind w:left="720"/>
        <w:jc w:val="both"/>
        <w:rPr>
          <w:rFonts w:eastAsia="Times New Roman" w:cs="Times New Roman"/>
          <w:b/>
          <w:sz w:val="40"/>
          <w:szCs w:val="40"/>
          <w:lang w:eastAsia="en-IN"/>
        </w:rPr>
      </w:pPr>
      <w:r w:rsidRPr="001B2F99">
        <w:rPr>
          <w:rFonts w:eastAsia="Times New Roman" w:cs="Times New Roman"/>
          <w:b/>
          <w:sz w:val="40"/>
          <w:szCs w:val="40"/>
          <w:lang w:eastAsia="en-IN"/>
        </w:rPr>
        <w:lastRenderedPageBreak/>
        <w:t>Elicit</w:t>
      </w:r>
    </w:p>
    <w:p w:rsidR="008A7B7F" w:rsidRPr="008A7B7F" w:rsidRDefault="008A7B7F" w:rsidP="008A7B7F">
      <w:pPr>
        <w:spacing w:before="100" w:beforeAutospacing="1" w:after="100" w:afterAutospacing="1" w:line="240" w:lineRule="auto"/>
        <w:ind w:left="720"/>
        <w:jc w:val="both"/>
        <w:rPr>
          <w:rFonts w:eastAsia="Times New Roman" w:cs="Times New Roman"/>
          <w:sz w:val="24"/>
          <w:szCs w:val="24"/>
          <w:lang w:eastAsia="en-IN"/>
        </w:rPr>
      </w:pPr>
      <w:r>
        <w:rPr>
          <w:noProof/>
        </w:rPr>
        <w:drawing>
          <wp:inline distT="0" distB="0" distL="0" distR="0" wp14:anchorId="4504B31D" wp14:editId="096714C4">
            <wp:extent cx="4971110" cy="2330242"/>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6581" cy="2332806"/>
                    </a:xfrm>
                    <a:prstGeom prst="rect">
                      <a:avLst/>
                    </a:prstGeom>
                  </pic:spPr>
                </pic:pic>
              </a:graphicData>
            </a:graphic>
          </wp:inline>
        </w:drawing>
      </w:r>
    </w:p>
    <w:p w:rsidR="007F3686" w:rsidRDefault="008A7B7F">
      <w:r>
        <w:rPr>
          <w:noProof/>
        </w:rPr>
        <w:drawing>
          <wp:inline distT="0" distB="0" distL="0" distR="0" wp14:anchorId="017DDE96" wp14:editId="2263756E">
            <wp:extent cx="4983365" cy="2313902"/>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2361" cy="2318079"/>
                    </a:xfrm>
                    <a:prstGeom prst="rect">
                      <a:avLst/>
                    </a:prstGeom>
                  </pic:spPr>
                </pic:pic>
              </a:graphicData>
            </a:graphic>
          </wp:inline>
        </w:drawing>
      </w:r>
    </w:p>
    <w:p w:rsidR="001B2F99" w:rsidRPr="001B2F99" w:rsidRDefault="001B2F99" w:rsidP="008A7B7F">
      <w:pPr>
        <w:pStyle w:val="my-0"/>
        <w:rPr>
          <w:b/>
          <w:sz w:val="40"/>
          <w:szCs w:val="40"/>
        </w:rPr>
      </w:pPr>
      <w:r w:rsidRPr="001B2F99">
        <w:rPr>
          <w:b/>
          <w:sz w:val="40"/>
          <w:szCs w:val="40"/>
        </w:rPr>
        <w:t>Perplexity</w:t>
      </w:r>
    </w:p>
    <w:p w:rsidR="008A7B7F" w:rsidRDefault="008A7B7F" w:rsidP="008A7B7F">
      <w:pPr>
        <w:pStyle w:val="my-0"/>
      </w:pPr>
      <w:r>
        <w:t xml:space="preserve">Recent studies on low-molecular-weight </w:t>
      </w:r>
      <w:proofErr w:type="spellStart"/>
      <w:r>
        <w:t>gelators</w:t>
      </w:r>
      <w:proofErr w:type="spellEnd"/>
      <w:r>
        <w:t xml:space="preserve"> (LMWGs) in drug delivery highlight their promising role as versatile and </w:t>
      </w:r>
      <w:proofErr w:type="spellStart"/>
      <w:r>
        <w:t>tunable</w:t>
      </w:r>
      <w:proofErr w:type="spellEnd"/>
      <w:r>
        <w:t xml:space="preserve"> drug carriers, particularly in hydrogel form, for controlled and targeted release applications.</w:t>
      </w:r>
    </w:p>
    <w:p w:rsidR="008A7B7F" w:rsidRDefault="008A7B7F" w:rsidP="008A7B7F">
      <w:pPr>
        <w:pStyle w:val="Heading2"/>
      </w:pPr>
      <w:r>
        <w:t>Key Advances in LMWGs for Drug Delivery</w:t>
      </w:r>
    </w:p>
    <w:p w:rsidR="008A7B7F" w:rsidRDefault="008A7B7F" w:rsidP="008A7B7F">
      <w:pPr>
        <w:pStyle w:val="my-0"/>
      </w:pPr>
      <w:r>
        <w:rPr>
          <w:rStyle w:val="Strong"/>
          <w:rFonts w:eastAsiaTheme="majorEastAsia"/>
        </w:rPr>
        <w:t xml:space="preserve">1. Modular and </w:t>
      </w:r>
      <w:proofErr w:type="spellStart"/>
      <w:r>
        <w:rPr>
          <w:rStyle w:val="Strong"/>
          <w:rFonts w:eastAsiaTheme="majorEastAsia"/>
        </w:rPr>
        <w:t>Tunable</w:t>
      </w:r>
      <w:proofErr w:type="spellEnd"/>
      <w:r>
        <w:rPr>
          <w:rStyle w:val="Strong"/>
          <w:rFonts w:eastAsiaTheme="majorEastAsia"/>
        </w:rPr>
        <w:t xml:space="preserve"> Drug Release:</w:t>
      </w:r>
    </w:p>
    <w:p w:rsidR="008A7B7F" w:rsidRDefault="008A7B7F" w:rsidP="008A7B7F">
      <w:pPr>
        <w:pStyle w:val="my-0"/>
        <w:numPr>
          <w:ilvl w:val="0"/>
          <w:numId w:val="2"/>
        </w:numPr>
      </w:pPr>
      <w:r>
        <w:t xml:space="preserve">LMWGs can form hydrogels that allow for precise control over drug release mechanisms. For example, a reaction-coupled LMWG system demonstrated </w:t>
      </w:r>
      <w:proofErr w:type="spellStart"/>
      <w:r>
        <w:t>tunable</w:t>
      </w:r>
      <w:proofErr w:type="spellEnd"/>
      <w:r>
        <w:t xml:space="preserve"> doxorubicin release by altering the timing of </w:t>
      </w:r>
      <w:proofErr w:type="spellStart"/>
      <w:r>
        <w:t>gelator</w:t>
      </w:r>
      <w:proofErr w:type="spellEnd"/>
      <w:r>
        <w:t xml:space="preserve"> and drug component assembly, switching between covalent and noncovalent drug binding. This switch modulates the release profile from faster </w:t>
      </w:r>
      <w:proofErr w:type="spellStart"/>
      <w:r>
        <w:t>Fickian</w:t>
      </w:r>
      <w:proofErr w:type="spellEnd"/>
      <w:r>
        <w:t xml:space="preserve"> diffusion to slower semi-</w:t>
      </w:r>
      <w:proofErr w:type="spellStart"/>
      <w:r>
        <w:t>Fickian</w:t>
      </w:r>
      <w:proofErr w:type="spellEnd"/>
      <w:r>
        <w:t xml:space="preserve"> release, enabling sustained drug delivery suitable for cancer therapy (MCF-7 breast cancer cells)</w:t>
      </w:r>
      <w:hyperlink r:id="rId10" w:tgtFrame="_blank" w:history="1">
        <w:r>
          <w:rPr>
            <w:rStyle w:val="hoverbg-super"/>
            <w:color w:val="0000FF"/>
            <w:u w:val="single"/>
          </w:rPr>
          <w:t>4</w:t>
        </w:r>
      </w:hyperlink>
      <w:r>
        <w:rPr>
          <w:rStyle w:val="whitespace-nowrap"/>
        </w:rPr>
        <w:t>.</w:t>
      </w:r>
    </w:p>
    <w:p w:rsidR="008A7B7F" w:rsidRDefault="008A7B7F" w:rsidP="008A7B7F">
      <w:pPr>
        <w:pStyle w:val="my-0"/>
      </w:pPr>
      <w:r>
        <w:rPr>
          <w:rStyle w:val="Strong"/>
          <w:rFonts w:eastAsiaTheme="majorEastAsia"/>
        </w:rPr>
        <w:t>2. Stimuli-Responsive Delivery:</w:t>
      </w:r>
    </w:p>
    <w:p w:rsidR="008A7B7F" w:rsidRDefault="008A7B7F" w:rsidP="008A7B7F">
      <w:pPr>
        <w:pStyle w:val="my-0"/>
        <w:numPr>
          <w:ilvl w:val="0"/>
          <w:numId w:val="3"/>
        </w:numPr>
      </w:pPr>
      <w:r>
        <w:lastRenderedPageBreak/>
        <w:t xml:space="preserve">LMWG-based systems can be engineered to respond to endogenous triggers such as pH, redox conditions, enzymes, and reactive oxygen species, or exogenous triggers like light, temperature, magnetic fields, and ultrasound. These stimuli-responsive properties enhance </w:t>
      </w:r>
      <w:proofErr w:type="spellStart"/>
      <w:r>
        <w:t>tumor</w:t>
      </w:r>
      <w:proofErr w:type="spellEnd"/>
      <w:r>
        <w:t>-specific delivery and controlled release, improving therapeutic efficacy and reducing side effects</w:t>
      </w:r>
      <w:hyperlink r:id="rId11" w:tgtFrame="_blank" w:history="1">
        <w:r>
          <w:rPr>
            <w:rStyle w:val="hoverbg-super"/>
            <w:color w:val="0000FF"/>
            <w:u w:val="single"/>
          </w:rPr>
          <w:t>1</w:t>
        </w:r>
      </w:hyperlink>
      <w:hyperlink r:id="rId12" w:tgtFrame="_blank" w:history="1">
        <w:r>
          <w:rPr>
            <w:rStyle w:val="hoverbg-super"/>
            <w:color w:val="0000FF"/>
            <w:u w:val="single"/>
          </w:rPr>
          <w:t>5</w:t>
        </w:r>
      </w:hyperlink>
      <w:r>
        <w:rPr>
          <w:rStyle w:val="whitespace-nowrap"/>
        </w:rPr>
        <w:t>.</w:t>
      </w:r>
    </w:p>
    <w:p w:rsidR="008A7B7F" w:rsidRDefault="008A7B7F" w:rsidP="008A7B7F">
      <w:pPr>
        <w:pStyle w:val="my-0"/>
      </w:pPr>
      <w:r>
        <w:rPr>
          <w:rStyle w:val="Strong"/>
          <w:rFonts w:eastAsiaTheme="majorEastAsia"/>
        </w:rPr>
        <w:t>3. Biocompatibility and Versatility:</w:t>
      </w:r>
    </w:p>
    <w:p w:rsidR="008A7B7F" w:rsidRDefault="008A7B7F" w:rsidP="008A7B7F">
      <w:pPr>
        <w:pStyle w:val="my-0"/>
        <w:numPr>
          <w:ilvl w:val="0"/>
          <w:numId w:val="4"/>
        </w:numPr>
      </w:pPr>
      <w:r>
        <w:t xml:space="preserve">Natural-drug-based LMWGs and </w:t>
      </w:r>
      <w:proofErr w:type="spellStart"/>
      <w:r>
        <w:t>organogels</w:t>
      </w:r>
      <w:proofErr w:type="spellEnd"/>
      <w:r>
        <w:t xml:space="preserve"> have been developed as biocompatible carriers for hydrophobic and hydrophilic drugs, showing promise in sustained release and chemotherapy applications. For instance, paclitaxel-loaded </w:t>
      </w:r>
      <w:proofErr w:type="spellStart"/>
      <w:r>
        <w:t>organogel</w:t>
      </w:r>
      <w:proofErr w:type="spellEnd"/>
      <w:r>
        <w:t xml:space="preserve"> </w:t>
      </w:r>
      <w:proofErr w:type="spellStart"/>
      <w:r>
        <w:t>nano</w:t>
      </w:r>
      <w:proofErr w:type="spellEnd"/>
      <w:r>
        <w:t>-dispersions demonstrated significant anti-cancer effects in vitro and in vivo</w:t>
      </w:r>
      <w:hyperlink r:id="rId13" w:tgtFrame="_blank" w:history="1">
        <w:r>
          <w:rPr>
            <w:rStyle w:val="hoverbg-super"/>
            <w:color w:val="0000FF"/>
            <w:u w:val="single"/>
          </w:rPr>
          <w:t>5</w:t>
        </w:r>
      </w:hyperlink>
      <w:hyperlink r:id="rId14" w:tgtFrame="_blank" w:history="1">
        <w:r>
          <w:rPr>
            <w:rStyle w:val="hoverbg-super"/>
            <w:color w:val="0000FF"/>
            <w:u w:val="single"/>
          </w:rPr>
          <w:t>2</w:t>
        </w:r>
      </w:hyperlink>
      <w:r>
        <w:rPr>
          <w:rStyle w:val="whitespace-nowrap"/>
        </w:rPr>
        <w:t>.</w:t>
      </w:r>
    </w:p>
    <w:p w:rsidR="008A7B7F" w:rsidRDefault="008A7B7F" w:rsidP="008A7B7F">
      <w:pPr>
        <w:pStyle w:val="my-0"/>
      </w:pPr>
      <w:r>
        <w:rPr>
          <w:rStyle w:val="Strong"/>
          <w:rFonts w:eastAsiaTheme="majorEastAsia"/>
        </w:rPr>
        <w:t>4. Application in Wound Healing:</w:t>
      </w:r>
    </w:p>
    <w:p w:rsidR="008A7B7F" w:rsidRDefault="008A7B7F" w:rsidP="008A7B7F">
      <w:pPr>
        <w:pStyle w:val="my-0"/>
        <w:numPr>
          <w:ilvl w:val="0"/>
          <w:numId w:val="5"/>
        </w:numPr>
      </w:pPr>
      <w:r>
        <w:t>LMWG hydrogels have been used as carriers for therapeutic metal ions, such as copper salts, to promote wound healing in animal models, indicating their potential beyond cancer therapy into regenerative medicine</w:t>
      </w:r>
      <w:hyperlink r:id="rId15" w:tgtFrame="_blank" w:history="1">
        <w:r>
          <w:rPr>
            <w:rStyle w:val="hoverbg-super"/>
            <w:color w:val="0000FF"/>
            <w:u w:val="single"/>
          </w:rPr>
          <w:t>8</w:t>
        </w:r>
      </w:hyperlink>
      <w:r>
        <w:rPr>
          <w:rStyle w:val="whitespace-nowrap"/>
        </w:rPr>
        <w:t>.</w:t>
      </w:r>
    </w:p>
    <w:p w:rsidR="008A7B7F" w:rsidRDefault="008A7B7F" w:rsidP="008A7B7F">
      <w:pPr>
        <w:pStyle w:val="my-0"/>
      </w:pPr>
      <w:r>
        <w:rPr>
          <w:rStyle w:val="Strong"/>
          <w:rFonts w:eastAsiaTheme="majorEastAsia"/>
        </w:rPr>
        <w:t>5. Ease of Preparation and Functionalization:</w:t>
      </w:r>
    </w:p>
    <w:p w:rsidR="008A7B7F" w:rsidRDefault="008A7B7F" w:rsidP="008A7B7F">
      <w:pPr>
        <w:pStyle w:val="my-0"/>
        <w:numPr>
          <w:ilvl w:val="0"/>
          <w:numId w:val="6"/>
        </w:numPr>
      </w:pPr>
      <w:r>
        <w:t xml:space="preserve">The modularity of LMWGs allows facile preparation from inexpensive components under physiological conditions, enabling in situ gelation and drug loading. This adaptability supports the design of personalized drug delivery systems with </w:t>
      </w:r>
      <w:proofErr w:type="spellStart"/>
      <w:r>
        <w:t>tunable</w:t>
      </w:r>
      <w:proofErr w:type="spellEnd"/>
      <w:r>
        <w:t xml:space="preserve"> mechanical properties and release kinetics</w:t>
      </w:r>
      <w:hyperlink r:id="rId16" w:tgtFrame="_blank" w:history="1">
        <w:r>
          <w:rPr>
            <w:rStyle w:val="hoverbg-super"/>
            <w:color w:val="0000FF"/>
            <w:u w:val="single"/>
          </w:rPr>
          <w:t>4</w:t>
        </w:r>
      </w:hyperlink>
      <w:r>
        <w:rPr>
          <w:rStyle w:val="whitespace-nowrap"/>
        </w:rPr>
        <w:t>.</w:t>
      </w:r>
    </w:p>
    <w:p w:rsidR="008A7B7F" w:rsidRDefault="008A7B7F" w:rsidP="008A7B7F">
      <w:pPr>
        <w:pStyle w:val="Heading2"/>
      </w:pPr>
      <w:r>
        <w:t>Summary</w:t>
      </w:r>
    </w:p>
    <w:p w:rsidR="008A7B7F" w:rsidRDefault="008A7B7F" w:rsidP="008A7B7F">
      <w:pPr>
        <w:pStyle w:val="my-0"/>
      </w:pPr>
      <w:r>
        <w:t xml:space="preserve">Low-molecular-weight </w:t>
      </w:r>
      <w:proofErr w:type="spellStart"/>
      <w:r>
        <w:t>gelators</w:t>
      </w:r>
      <w:proofErr w:type="spellEnd"/>
      <w:r>
        <w:t xml:space="preserve"> are emerging as a versatile platform in drug delivery due to their modular design, stimuli-responsive </w:t>
      </w:r>
      <w:proofErr w:type="spellStart"/>
      <w:r>
        <w:t>behavior</w:t>
      </w:r>
      <w:proofErr w:type="spellEnd"/>
      <w:r>
        <w:t>, and biocompatibility. Recent studies focus on reaction-coupled self-assembly for controlled drug release, co-delivery strategies, and applications in cancer therapy and wound healing. These advances position LMWGs as promising candidates for next-generation therapeutic delivery systems with improved efficacy and patient compliance</w:t>
      </w:r>
      <w:hyperlink r:id="rId17" w:tgtFrame="_blank" w:history="1">
        <w:r>
          <w:rPr>
            <w:rStyle w:val="hoverbg-super"/>
            <w:color w:val="0000FF"/>
            <w:u w:val="single"/>
          </w:rPr>
          <w:t>1</w:t>
        </w:r>
      </w:hyperlink>
      <w:hyperlink r:id="rId18" w:tgtFrame="_blank" w:history="1">
        <w:r>
          <w:rPr>
            <w:rStyle w:val="hoverbg-super"/>
            <w:color w:val="0000FF"/>
            <w:u w:val="single"/>
          </w:rPr>
          <w:t>2</w:t>
        </w:r>
      </w:hyperlink>
      <w:hyperlink r:id="rId19" w:tgtFrame="_blank" w:history="1">
        <w:r>
          <w:rPr>
            <w:rStyle w:val="hoverbg-super"/>
            <w:color w:val="0000FF"/>
            <w:u w:val="single"/>
          </w:rPr>
          <w:t>4</w:t>
        </w:r>
      </w:hyperlink>
      <w:hyperlink r:id="rId20" w:tgtFrame="_blank" w:history="1">
        <w:r>
          <w:rPr>
            <w:rStyle w:val="hoverbg-super"/>
            <w:color w:val="0000FF"/>
            <w:u w:val="single"/>
          </w:rPr>
          <w:t>5</w:t>
        </w:r>
      </w:hyperlink>
      <w:hyperlink r:id="rId21" w:tgtFrame="_blank" w:history="1">
        <w:r>
          <w:rPr>
            <w:rStyle w:val="hoverbg-super"/>
            <w:color w:val="0000FF"/>
            <w:u w:val="single"/>
          </w:rPr>
          <w:t>8</w:t>
        </w:r>
      </w:hyperlink>
      <w:r>
        <w:rPr>
          <w:rStyle w:val="whitespace-nowrap"/>
        </w:rPr>
        <w:t>.</w:t>
      </w:r>
    </w:p>
    <w:p w:rsidR="008A7B7F" w:rsidRDefault="008A7B7F" w:rsidP="008A7B7F">
      <w:pPr>
        <w:pStyle w:val="Heading3"/>
      </w:pPr>
      <w:r>
        <w:t>Citations:</w:t>
      </w:r>
    </w:p>
    <w:p w:rsidR="008A7B7F" w:rsidRDefault="008A7B7F" w:rsidP="008A7B7F">
      <w:pPr>
        <w:numPr>
          <w:ilvl w:val="0"/>
          <w:numId w:val="7"/>
        </w:numPr>
        <w:spacing w:before="100" w:beforeAutospacing="1" w:after="100" w:afterAutospacing="1" w:line="240" w:lineRule="auto"/>
      </w:pPr>
      <w:hyperlink r:id="rId22" w:history="1">
        <w:r>
          <w:rPr>
            <w:rStyle w:val="Hyperlink"/>
          </w:rPr>
          <w:t>https://pmc.ncbi.nlm.nih.gov/articles/PMC6900554/</w:t>
        </w:r>
      </w:hyperlink>
    </w:p>
    <w:p w:rsidR="008A7B7F" w:rsidRDefault="008A7B7F" w:rsidP="008A7B7F">
      <w:pPr>
        <w:numPr>
          <w:ilvl w:val="0"/>
          <w:numId w:val="7"/>
        </w:numPr>
        <w:spacing w:before="100" w:beforeAutospacing="1" w:after="100" w:afterAutospacing="1" w:line="240" w:lineRule="auto"/>
      </w:pPr>
      <w:hyperlink r:id="rId23" w:history="1">
        <w:r>
          <w:rPr>
            <w:rStyle w:val="Hyperlink"/>
          </w:rPr>
          <w:t>https://pmc.ncbi.nlm.nih.gov/articles/PMC8395818/</w:t>
        </w:r>
      </w:hyperlink>
    </w:p>
    <w:p w:rsidR="008A7B7F" w:rsidRDefault="008A7B7F" w:rsidP="008A7B7F">
      <w:pPr>
        <w:numPr>
          <w:ilvl w:val="0"/>
          <w:numId w:val="7"/>
        </w:numPr>
        <w:spacing w:before="100" w:beforeAutospacing="1" w:after="100" w:afterAutospacing="1" w:line="240" w:lineRule="auto"/>
      </w:pPr>
      <w:hyperlink r:id="rId24" w:history="1">
        <w:r>
          <w:rPr>
            <w:rStyle w:val="Hyperlink"/>
          </w:rPr>
          <w:t>https://pubs.rsc.org/en/content/articlehtml/2024/sm/d3sm01301d</w:t>
        </w:r>
      </w:hyperlink>
    </w:p>
    <w:p w:rsidR="008A7B7F" w:rsidRDefault="008A7B7F" w:rsidP="008A7B7F">
      <w:pPr>
        <w:numPr>
          <w:ilvl w:val="0"/>
          <w:numId w:val="7"/>
        </w:numPr>
        <w:spacing w:before="100" w:beforeAutospacing="1" w:after="100" w:afterAutospacing="1" w:line="240" w:lineRule="auto"/>
      </w:pPr>
      <w:hyperlink r:id="rId25" w:history="1">
        <w:r>
          <w:rPr>
            <w:rStyle w:val="Hyperlink"/>
          </w:rPr>
          <w:t>https://pubs.acs.org/doi/10.1021/acs.biomac.2c01197</w:t>
        </w:r>
      </w:hyperlink>
    </w:p>
    <w:p w:rsidR="008A7B7F" w:rsidRDefault="008A7B7F" w:rsidP="008A7B7F">
      <w:pPr>
        <w:numPr>
          <w:ilvl w:val="0"/>
          <w:numId w:val="7"/>
        </w:numPr>
        <w:spacing w:before="100" w:beforeAutospacing="1" w:after="100" w:afterAutospacing="1" w:line="240" w:lineRule="auto"/>
      </w:pPr>
      <w:hyperlink r:id="rId26" w:history="1">
        <w:r>
          <w:rPr>
            <w:rStyle w:val="Hyperlink"/>
          </w:rPr>
          <w:t>https://www.frontiersin.org/articles/10.3389/fmats.2022.845700/full</w:t>
        </w:r>
      </w:hyperlink>
    </w:p>
    <w:p w:rsidR="008A7B7F" w:rsidRDefault="008A7B7F" w:rsidP="008A7B7F">
      <w:pPr>
        <w:numPr>
          <w:ilvl w:val="0"/>
          <w:numId w:val="7"/>
        </w:numPr>
        <w:spacing w:before="100" w:beforeAutospacing="1" w:after="100" w:afterAutospacing="1" w:line="240" w:lineRule="auto"/>
      </w:pPr>
      <w:hyperlink r:id="rId27" w:history="1">
        <w:r>
          <w:rPr>
            <w:rStyle w:val="Hyperlink"/>
          </w:rPr>
          <w:t>https://www.sciencedirect.com/science/article/pii/S2090123224001267</w:t>
        </w:r>
      </w:hyperlink>
    </w:p>
    <w:p w:rsidR="008A7B7F" w:rsidRDefault="008A7B7F" w:rsidP="008A7B7F">
      <w:pPr>
        <w:numPr>
          <w:ilvl w:val="0"/>
          <w:numId w:val="7"/>
        </w:numPr>
        <w:spacing w:before="100" w:beforeAutospacing="1" w:after="100" w:afterAutospacing="1" w:line="240" w:lineRule="auto"/>
      </w:pPr>
      <w:hyperlink r:id="rId28" w:history="1">
        <w:r>
          <w:rPr>
            <w:rStyle w:val="Hyperlink"/>
          </w:rPr>
          <w:t>https://www.sciencedirect.com/science/article/pii/S258996512400103X</w:t>
        </w:r>
      </w:hyperlink>
    </w:p>
    <w:p w:rsidR="008A7B7F" w:rsidRDefault="008A7B7F" w:rsidP="008A7B7F">
      <w:pPr>
        <w:numPr>
          <w:ilvl w:val="0"/>
          <w:numId w:val="7"/>
        </w:numPr>
        <w:spacing w:before="100" w:beforeAutospacing="1" w:after="100" w:afterAutospacing="1" w:line="240" w:lineRule="auto"/>
      </w:pPr>
      <w:hyperlink r:id="rId29" w:history="1">
        <w:r>
          <w:rPr>
            <w:rStyle w:val="Hyperlink"/>
          </w:rPr>
          <w:t>https://www.mdpi.com/1999-4923/15/4/1119</w:t>
        </w:r>
      </w:hyperlink>
    </w:p>
    <w:p w:rsidR="008A7B7F" w:rsidRDefault="008A7B7F" w:rsidP="008A7B7F">
      <w:pPr>
        <w:spacing w:after="0"/>
      </w:pPr>
      <w:r>
        <w:pict>
          <v:rect id="_x0000_i1025" style="width:0;height:1.5pt" o:hralign="center" o:hrstd="t" o:hr="t" fillcolor="#a0a0a0" stroked="f"/>
        </w:pict>
      </w:r>
    </w:p>
    <w:p w:rsidR="008A7B7F" w:rsidRDefault="008A7B7F" w:rsidP="008A7B7F">
      <w:pPr>
        <w:pStyle w:val="NormalWeb"/>
      </w:pPr>
      <w:r>
        <w:t xml:space="preserve">Answer from Perplexity: </w:t>
      </w:r>
      <w:hyperlink r:id="rId30" w:history="1">
        <w:r>
          <w:rPr>
            <w:rStyle w:val="Hyperlink"/>
          </w:rPr>
          <w:t>https://www.perplexity.ai/search/recent-studies-on-lmwgs-in-dru-vA4ntnIrTDSJg76NOX46Ag?utm_source=copy_output</w:t>
        </w:r>
      </w:hyperlink>
    </w:p>
    <w:p w:rsidR="008A7B7F" w:rsidRDefault="001B2F99">
      <w:bookmarkStart w:id="0" w:name="_GoBack"/>
      <w:r>
        <w:rPr>
          <w:noProof/>
        </w:rPr>
        <w:lastRenderedPageBreak/>
        <w:drawing>
          <wp:inline distT="0" distB="0" distL="0" distR="0" wp14:anchorId="40C3B9B0" wp14:editId="575577E9">
            <wp:extent cx="5731510" cy="27603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760345"/>
                    </a:xfrm>
                    <a:prstGeom prst="rect">
                      <a:avLst/>
                    </a:prstGeom>
                  </pic:spPr>
                </pic:pic>
              </a:graphicData>
            </a:graphic>
          </wp:inline>
        </w:drawing>
      </w:r>
      <w:bookmarkEnd w:id="0"/>
    </w:p>
    <w:sectPr w:rsidR="008A7B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083B" w:rsidRDefault="00E6083B" w:rsidP="001B2F99">
      <w:pPr>
        <w:spacing w:after="0" w:line="240" w:lineRule="auto"/>
      </w:pPr>
      <w:r>
        <w:separator/>
      </w:r>
    </w:p>
  </w:endnote>
  <w:endnote w:type="continuationSeparator" w:id="0">
    <w:p w:rsidR="00E6083B" w:rsidRDefault="00E6083B" w:rsidP="001B2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083B" w:rsidRDefault="00E6083B" w:rsidP="001B2F99">
      <w:pPr>
        <w:spacing w:after="0" w:line="240" w:lineRule="auto"/>
      </w:pPr>
      <w:r>
        <w:separator/>
      </w:r>
    </w:p>
  </w:footnote>
  <w:footnote w:type="continuationSeparator" w:id="0">
    <w:p w:rsidR="00E6083B" w:rsidRDefault="00E6083B" w:rsidP="001B2F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50F3D"/>
    <w:multiLevelType w:val="multilevel"/>
    <w:tmpl w:val="8B76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E44AE"/>
    <w:multiLevelType w:val="multilevel"/>
    <w:tmpl w:val="3A4A7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11766E"/>
    <w:multiLevelType w:val="multilevel"/>
    <w:tmpl w:val="5274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2C0A0D"/>
    <w:multiLevelType w:val="multilevel"/>
    <w:tmpl w:val="A386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CE6DAA"/>
    <w:multiLevelType w:val="multilevel"/>
    <w:tmpl w:val="D84C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1B2035"/>
    <w:multiLevelType w:val="multilevel"/>
    <w:tmpl w:val="B73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5D594B"/>
    <w:multiLevelType w:val="multilevel"/>
    <w:tmpl w:val="ADA8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6"/>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B7F"/>
    <w:rsid w:val="001B2F99"/>
    <w:rsid w:val="007F3686"/>
    <w:rsid w:val="008A7B7F"/>
    <w:rsid w:val="00E608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3E4AC"/>
  <w15:chartTrackingRefBased/>
  <w15:docId w15:val="{3AD47339-606B-4264-A97D-6EBF399F9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A7B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7B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A7B7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A7B7F"/>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8A7B7F"/>
    <w:rPr>
      <w:b/>
      <w:bCs/>
    </w:rPr>
  </w:style>
  <w:style w:type="character" w:customStyle="1" w:styleId="Heading2Char">
    <w:name w:val="Heading 2 Char"/>
    <w:basedOn w:val="DefaultParagraphFont"/>
    <w:link w:val="Heading2"/>
    <w:uiPriority w:val="9"/>
    <w:semiHidden/>
    <w:rsid w:val="008A7B7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A7B7F"/>
    <w:rPr>
      <w:rFonts w:asciiTheme="majorHAnsi" w:eastAsiaTheme="majorEastAsia" w:hAnsiTheme="majorHAnsi" w:cstheme="majorBidi"/>
      <w:color w:val="1F3763" w:themeColor="accent1" w:themeShade="7F"/>
      <w:sz w:val="24"/>
      <w:szCs w:val="24"/>
    </w:rPr>
  </w:style>
  <w:style w:type="paragraph" w:customStyle="1" w:styleId="my-0">
    <w:name w:val="my-0"/>
    <w:basedOn w:val="Normal"/>
    <w:rsid w:val="008A7B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hitespace-nowrap">
    <w:name w:val="whitespace-nowrap"/>
    <w:basedOn w:val="DefaultParagraphFont"/>
    <w:rsid w:val="008A7B7F"/>
  </w:style>
  <w:style w:type="character" w:styleId="Hyperlink">
    <w:name w:val="Hyperlink"/>
    <w:basedOn w:val="DefaultParagraphFont"/>
    <w:uiPriority w:val="99"/>
    <w:semiHidden/>
    <w:unhideWhenUsed/>
    <w:rsid w:val="008A7B7F"/>
    <w:rPr>
      <w:color w:val="0000FF"/>
      <w:u w:val="single"/>
    </w:rPr>
  </w:style>
  <w:style w:type="character" w:customStyle="1" w:styleId="hoverbg-super">
    <w:name w:val="hover:bg-super"/>
    <w:basedOn w:val="DefaultParagraphFont"/>
    <w:rsid w:val="008A7B7F"/>
  </w:style>
  <w:style w:type="paragraph" w:styleId="NormalWeb">
    <w:name w:val="Normal (Web)"/>
    <w:basedOn w:val="Normal"/>
    <w:uiPriority w:val="99"/>
    <w:semiHidden/>
    <w:unhideWhenUsed/>
    <w:rsid w:val="008A7B7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1B2F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2F99"/>
  </w:style>
  <w:style w:type="paragraph" w:styleId="Footer">
    <w:name w:val="footer"/>
    <w:basedOn w:val="Normal"/>
    <w:link w:val="FooterChar"/>
    <w:uiPriority w:val="99"/>
    <w:unhideWhenUsed/>
    <w:rsid w:val="001B2F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2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744857">
      <w:bodyDiv w:val="1"/>
      <w:marLeft w:val="0"/>
      <w:marRight w:val="0"/>
      <w:marTop w:val="0"/>
      <w:marBottom w:val="0"/>
      <w:divBdr>
        <w:top w:val="none" w:sz="0" w:space="0" w:color="auto"/>
        <w:left w:val="none" w:sz="0" w:space="0" w:color="auto"/>
        <w:bottom w:val="none" w:sz="0" w:space="0" w:color="auto"/>
        <w:right w:val="none" w:sz="0" w:space="0" w:color="auto"/>
      </w:divBdr>
      <w:divsChild>
        <w:div w:id="202913633">
          <w:marLeft w:val="0"/>
          <w:marRight w:val="0"/>
          <w:marTop w:val="0"/>
          <w:marBottom w:val="0"/>
          <w:divBdr>
            <w:top w:val="none" w:sz="0" w:space="0" w:color="auto"/>
            <w:left w:val="none" w:sz="0" w:space="0" w:color="auto"/>
            <w:bottom w:val="none" w:sz="0" w:space="0" w:color="auto"/>
            <w:right w:val="none" w:sz="0" w:space="0" w:color="auto"/>
          </w:divBdr>
          <w:divsChild>
            <w:div w:id="98273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51378">
      <w:bodyDiv w:val="1"/>
      <w:marLeft w:val="0"/>
      <w:marRight w:val="0"/>
      <w:marTop w:val="0"/>
      <w:marBottom w:val="0"/>
      <w:divBdr>
        <w:top w:val="none" w:sz="0" w:space="0" w:color="auto"/>
        <w:left w:val="none" w:sz="0" w:space="0" w:color="auto"/>
        <w:bottom w:val="none" w:sz="0" w:space="0" w:color="auto"/>
        <w:right w:val="none" w:sz="0" w:space="0" w:color="auto"/>
      </w:divBdr>
      <w:divsChild>
        <w:div w:id="1458142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rontiersin.org/articles/10.3389/fmats.2022.845700/full" TargetMode="External"/><Relationship Id="rId18" Type="http://schemas.openxmlformats.org/officeDocument/2006/relationships/hyperlink" Target="https://pmc.ncbi.nlm.nih.gov/articles/PMC8395818/" TargetMode="External"/><Relationship Id="rId26" Type="http://schemas.openxmlformats.org/officeDocument/2006/relationships/hyperlink" Target="https://www.frontiersin.org/articles/10.3389/fmats.2022.845700/full" TargetMode="External"/><Relationship Id="rId3" Type="http://schemas.openxmlformats.org/officeDocument/2006/relationships/settings" Target="settings.xml"/><Relationship Id="rId21" Type="http://schemas.openxmlformats.org/officeDocument/2006/relationships/hyperlink" Target="https://www.mdpi.com/1999-4923/15/4/1119" TargetMode="External"/><Relationship Id="rId7" Type="http://schemas.openxmlformats.org/officeDocument/2006/relationships/image" Target="media/image1.png"/><Relationship Id="rId12" Type="http://schemas.openxmlformats.org/officeDocument/2006/relationships/hyperlink" Target="https://www.frontiersin.org/articles/10.3389/fmats.2022.845700/full" TargetMode="External"/><Relationship Id="rId17" Type="http://schemas.openxmlformats.org/officeDocument/2006/relationships/hyperlink" Target="https://pmc.ncbi.nlm.nih.gov/articles/PMC6900554/" TargetMode="External"/><Relationship Id="rId25" Type="http://schemas.openxmlformats.org/officeDocument/2006/relationships/hyperlink" Target="https://pubs.acs.org/doi/10.1021/acs.biomac.2c01197"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ubs.acs.org/doi/10.1021/acs.biomac.2c01197" TargetMode="External"/><Relationship Id="rId20" Type="http://schemas.openxmlformats.org/officeDocument/2006/relationships/hyperlink" Target="https://www.frontiersin.org/articles/10.3389/fmats.2022.845700/full" TargetMode="External"/><Relationship Id="rId29" Type="http://schemas.openxmlformats.org/officeDocument/2006/relationships/hyperlink" Target="https://www.mdpi.com/1999-4923/15/4/111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mc.ncbi.nlm.nih.gov/articles/PMC6900554/" TargetMode="External"/><Relationship Id="rId24" Type="http://schemas.openxmlformats.org/officeDocument/2006/relationships/hyperlink" Target="https://pubs.rsc.org/en/content/articlehtml/2024/sm/d3sm01301d"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mdpi.com/1999-4923/15/4/1119" TargetMode="External"/><Relationship Id="rId23" Type="http://schemas.openxmlformats.org/officeDocument/2006/relationships/hyperlink" Target="https://pmc.ncbi.nlm.nih.gov/articles/PMC8395818/" TargetMode="External"/><Relationship Id="rId28" Type="http://schemas.openxmlformats.org/officeDocument/2006/relationships/hyperlink" Target="https://www.sciencedirect.com/science/article/pii/S258996512400103X" TargetMode="External"/><Relationship Id="rId10" Type="http://schemas.openxmlformats.org/officeDocument/2006/relationships/hyperlink" Target="https://pubs.acs.org/doi/10.1021/acs.biomac.2c01197" TargetMode="External"/><Relationship Id="rId19" Type="http://schemas.openxmlformats.org/officeDocument/2006/relationships/hyperlink" Target="https://pubs.acs.org/doi/10.1021/acs.biomac.2c01197" TargetMode="Externa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mc.ncbi.nlm.nih.gov/articles/PMC8395818/" TargetMode="External"/><Relationship Id="rId22" Type="http://schemas.openxmlformats.org/officeDocument/2006/relationships/hyperlink" Target="https://pmc.ncbi.nlm.nih.gov/articles/PMC6900554/" TargetMode="External"/><Relationship Id="rId27" Type="http://schemas.openxmlformats.org/officeDocument/2006/relationships/hyperlink" Target="https://www.sciencedirect.com/science/article/pii/S2090123224001267" TargetMode="External"/><Relationship Id="rId30" Type="http://schemas.openxmlformats.org/officeDocument/2006/relationships/hyperlink" Target="https://www.perplexity.ai/search/recent-studies-on-lmwgs-in-dru-vA4ntnIrTDSJg76NOX46Ag?utm_source=copy_outpu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2025-04-22T13:02:00Z</dcterms:created>
  <dcterms:modified xsi:type="dcterms:W3CDTF">2025-04-22T13:17:00Z</dcterms:modified>
</cp:coreProperties>
</file>