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3BA" w:rsidRPr="00966450" w:rsidRDefault="004C43BA" w:rsidP="004C43BA">
      <w:pPr>
        <w:contextualSpacing/>
        <w:jc w:val="center"/>
        <w:rPr>
          <w:b/>
        </w:rPr>
      </w:pPr>
      <w:bookmarkStart w:id="0" w:name="_GoBack"/>
      <w:bookmarkEnd w:id="0"/>
      <w:r>
        <w:rPr>
          <w:b/>
        </w:rPr>
        <w:t>Appendix I</w:t>
      </w:r>
      <w:r w:rsidRPr="00966450">
        <w:rPr>
          <w:b/>
        </w:rPr>
        <w:t>. Business</w:t>
      </w:r>
      <w:r>
        <w:rPr>
          <w:b/>
        </w:rPr>
        <w:t>-</w:t>
      </w:r>
      <w:r w:rsidRPr="00966450">
        <w:rPr>
          <w:b/>
        </w:rPr>
        <w:t xml:space="preserve"> and Mass-Based Interest Groups Included</w:t>
      </w:r>
    </w:p>
    <w:p w:rsidR="004C43BA" w:rsidRPr="00966450" w:rsidRDefault="004C43BA" w:rsidP="004C43BA">
      <w:pPr>
        <w:contextualSpacing/>
        <w:jc w:val="center"/>
        <w:rPr>
          <w:b/>
        </w:rPr>
      </w:pPr>
      <w:proofErr w:type="gramStart"/>
      <w:r w:rsidRPr="00966450">
        <w:rPr>
          <w:b/>
        </w:rPr>
        <w:t>in</w:t>
      </w:r>
      <w:proofErr w:type="gramEnd"/>
      <w:r w:rsidRPr="00966450">
        <w:rPr>
          <w:b/>
        </w:rPr>
        <w:t xml:space="preserve"> Net </w:t>
      </w:r>
      <w:r>
        <w:rPr>
          <w:b/>
        </w:rPr>
        <w:t xml:space="preserve">Group </w:t>
      </w:r>
      <w:r w:rsidRPr="00966450">
        <w:rPr>
          <w:b/>
        </w:rPr>
        <w:t>Alignment Indices</w:t>
      </w:r>
    </w:p>
    <w:p w:rsidR="004C43BA" w:rsidRPr="00A0542C" w:rsidRDefault="004C43BA" w:rsidP="004C43BA">
      <w:pPr>
        <w:contextualSpacing/>
        <w:jc w:val="center"/>
        <w:rPr>
          <w:sz w:val="20"/>
          <w:szCs w:val="20"/>
        </w:rPr>
      </w:pPr>
    </w:p>
    <w:p w:rsidR="004C43BA" w:rsidRPr="00A0542C" w:rsidRDefault="004C43BA" w:rsidP="004C43BA">
      <w:pPr>
        <w:contextualSpacing/>
        <w:jc w:val="center"/>
        <w:rPr>
          <w:sz w:val="20"/>
          <w:szCs w:val="20"/>
        </w:rPr>
      </w:pPr>
      <w:r w:rsidRPr="00A0542C">
        <w:rPr>
          <w:sz w:val="20"/>
          <w:szCs w:val="20"/>
          <w:u w:val="single"/>
        </w:rPr>
        <w:t>Business</w:t>
      </w:r>
      <w:r>
        <w:rPr>
          <w:sz w:val="20"/>
          <w:szCs w:val="20"/>
          <w:u w:val="single"/>
        </w:rPr>
        <w:t xml:space="preserve"> and professional</w:t>
      </w:r>
      <w:r w:rsidRPr="00A0542C">
        <w:rPr>
          <w:sz w:val="20"/>
          <w:szCs w:val="20"/>
          <w:u w:val="single"/>
        </w:rPr>
        <w:t xml:space="preserve"> groups</w:t>
      </w:r>
    </w:p>
    <w:p w:rsidR="004C43BA" w:rsidRPr="00A0542C" w:rsidRDefault="004C43BA" w:rsidP="004C43BA">
      <w:pPr>
        <w:contextualSpacing/>
        <w:rPr>
          <w:sz w:val="20"/>
          <w:szCs w:val="20"/>
        </w:rPr>
      </w:pPr>
      <w:r w:rsidRPr="00A0542C">
        <w:rPr>
          <w:sz w:val="20"/>
          <w:szCs w:val="20"/>
        </w:rPr>
        <w:t>Airlines</w:t>
      </w:r>
    </w:p>
    <w:p w:rsidR="004C43BA" w:rsidRPr="00A0542C" w:rsidRDefault="004C43BA" w:rsidP="004C43BA">
      <w:pPr>
        <w:contextualSpacing/>
        <w:rPr>
          <w:sz w:val="20"/>
          <w:szCs w:val="20"/>
        </w:rPr>
      </w:pPr>
      <w:r w:rsidRPr="00A0542C">
        <w:rPr>
          <w:sz w:val="20"/>
          <w:szCs w:val="20"/>
        </w:rPr>
        <w:t>American Bankers Association</w:t>
      </w:r>
    </w:p>
    <w:p w:rsidR="004C43BA" w:rsidRPr="00A0542C" w:rsidRDefault="004C43BA" w:rsidP="004C43BA">
      <w:pPr>
        <w:contextualSpacing/>
        <w:rPr>
          <w:sz w:val="20"/>
          <w:szCs w:val="20"/>
        </w:rPr>
      </w:pPr>
      <w:r w:rsidRPr="00A0542C">
        <w:rPr>
          <w:sz w:val="20"/>
          <w:szCs w:val="20"/>
        </w:rPr>
        <w:t>American Council of Life Insurance</w:t>
      </w:r>
    </w:p>
    <w:p w:rsidR="004C43BA" w:rsidRPr="00A0542C" w:rsidRDefault="004C43BA" w:rsidP="004C43BA">
      <w:pPr>
        <w:contextualSpacing/>
        <w:rPr>
          <w:sz w:val="20"/>
          <w:szCs w:val="20"/>
        </w:rPr>
      </w:pPr>
      <w:r w:rsidRPr="00A0542C">
        <w:rPr>
          <w:sz w:val="20"/>
          <w:szCs w:val="20"/>
        </w:rPr>
        <w:t>American Farm Bureau Federation</w:t>
      </w:r>
    </w:p>
    <w:p w:rsidR="004C43BA" w:rsidRPr="00A0542C" w:rsidRDefault="004C43BA" w:rsidP="004C43BA">
      <w:pPr>
        <w:contextualSpacing/>
        <w:rPr>
          <w:sz w:val="20"/>
          <w:szCs w:val="20"/>
        </w:rPr>
      </w:pPr>
      <w:r w:rsidRPr="00A0542C">
        <w:rPr>
          <w:sz w:val="20"/>
          <w:szCs w:val="20"/>
        </w:rPr>
        <w:t>American Hospital Association</w:t>
      </w:r>
    </w:p>
    <w:p w:rsidR="004C43BA" w:rsidRPr="00A0542C" w:rsidRDefault="004C43BA" w:rsidP="004C43BA">
      <w:pPr>
        <w:contextualSpacing/>
        <w:rPr>
          <w:sz w:val="20"/>
          <w:szCs w:val="20"/>
        </w:rPr>
      </w:pPr>
      <w:r w:rsidRPr="00A0542C">
        <w:rPr>
          <w:sz w:val="20"/>
          <w:szCs w:val="20"/>
        </w:rPr>
        <w:t>American Medical Association</w:t>
      </w:r>
    </w:p>
    <w:p w:rsidR="004C43BA" w:rsidRPr="00A0542C" w:rsidRDefault="004C43BA" w:rsidP="004C43BA">
      <w:pPr>
        <w:contextualSpacing/>
        <w:rPr>
          <w:sz w:val="20"/>
          <w:szCs w:val="20"/>
        </w:rPr>
      </w:pPr>
      <w:r w:rsidRPr="00A0542C">
        <w:rPr>
          <w:sz w:val="20"/>
          <w:szCs w:val="20"/>
        </w:rPr>
        <w:t>Association of Trial Lawyers</w:t>
      </w:r>
    </w:p>
    <w:p w:rsidR="004C43BA" w:rsidRPr="00A0542C" w:rsidRDefault="004C43BA" w:rsidP="004C43BA">
      <w:pPr>
        <w:contextualSpacing/>
        <w:rPr>
          <w:sz w:val="20"/>
          <w:szCs w:val="20"/>
        </w:rPr>
      </w:pPr>
      <w:r w:rsidRPr="00A0542C">
        <w:rPr>
          <w:sz w:val="20"/>
          <w:szCs w:val="20"/>
        </w:rPr>
        <w:t>Automobile companies</w:t>
      </w:r>
    </w:p>
    <w:p w:rsidR="004C43BA" w:rsidRPr="00A0542C" w:rsidRDefault="004C43BA" w:rsidP="004C43BA">
      <w:pPr>
        <w:contextualSpacing/>
        <w:rPr>
          <w:sz w:val="20"/>
          <w:szCs w:val="20"/>
        </w:rPr>
      </w:pPr>
      <w:r w:rsidRPr="00A0542C">
        <w:rPr>
          <w:sz w:val="20"/>
          <w:szCs w:val="20"/>
        </w:rPr>
        <w:t>Chamber of Commerce</w:t>
      </w:r>
    </w:p>
    <w:p w:rsidR="004C43BA" w:rsidRPr="00A0542C" w:rsidRDefault="004C43BA" w:rsidP="004C43BA">
      <w:pPr>
        <w:contextualSpacing/>
        <w:rPr>
          <w:sz w:val="20"/>
          <w:szCs w:val="20"/>
        </w:rPr>
      </w:pPr>
      <w:r w:rsidRPr="00A0542C">
        <w:rPr>
          <w:sz w:val="20"/>
          <w:szCs w:val="20"/>
        </w:rPr>
        <w:t>Computer software and hardware</w:t>
      </w:r>
    </w:p>
    <w:p w:rsidR="004C43BA" w:rsidRPr="00A0542C" w:rsidRDefault="004C43BA" w:rsidP="004C43BA">
      <w:pPr>
        <w:contextualSpacing/>
        <w:rPr>
          <w:sz w:val="20"/>
          <w:szCs w:val="20"/>
        </w:rPr>
      </w:pPr>
      <w:r w:rsidRPr="00A0542C">
        <w:rPr>
          <w:sz w:val="20"/>
          <w:szCs w:val="20"/>
        </w:rPr>
        <w:t xml:space="preserve">Credit Union National Association </w:t>
      </w:r>
    </w:p>
    <w:p w:rsidR="004C43BA" w:rsidRPr="00A0542C" w:rsidRDefault="004C43BA" w:rsidP="004C43BA">
      <w:pPr>
        <w:contextualSpacing/>
        <w:rPr>
          <w:sz w:val="20"/>
          <w:szCs w:val="20"/>
        </w:rPr>
      </w:pPr>
      <w:r w:rsidRPr="00A0542C">
        <w:rPr>
          <w:sz w:val="20"/>
          <w:szCs w:val="20"/>
        </w:rPr>
        <w:t>Defense contractors</w:t>
      </w:r>
    </w:p>
    <w:p w:rsidR="004C43BA" w:rsidRPr="00A0542C" w:rsidRDefault="004C43BA" w:rsidP="004C43BA">
      <w:pPr>
        <w:contextualSpacing/>
        <w:rPr>
          <w:sz w:val="20"/>
          <w:szCs w:val="20"/>
        </w:rPr>
      </w:pPr>
      <w:r w:rsidRPr="00A0542C">
        <w:rPr>
          <w:sz w:val="20"/>
          <w:szCs w:val="20"/>
        </w:rPr>
        <w:t>Electric companies</w:t>
      </w:r>
    </w:p>
    <w:p w:rsidR="004C43BA" w:rsidRPr="00A0542C" w:rsidRDefault="004C43BA" w:rsidP="004C43BA">
      <w:pPr>
        <w:contextualSpacing/>
        <w:rPr>
          <w:sz w:val="20"/>
          <w:szCs w:val="20"/>
        </w:rPr>
      </w:pPr>
      <w:r w:rsidRPr="00A0542C">
        <w:rPr>
          <w:sz w:val="20"/>
          <w:szCs w:val="20"/>
        </w:rPr>
        <w:t>Health Insurance Association</w:t>
      </w:r>
    </w:p>
    <w:p w:rsidR="004C43BA" w:rsidRPr="00A0542C" w:rsidRDefault="004C43BA" w:rsidP="004C43BA">
      <w:pPr>
        <w:contextualSpacing/>
        <w:rPr>
          <w:sz w:val="20"/>
          <w:szCs w:val="20"/>
        </w:rPr>
      </w:pPr>
      <w:r w:rsidRPr="00A0542C">
        <w:rPr>
          <w:sz w:val="20"/>
          <w:szCs w:val="20"/>
        </w:rPr>
        <w:t>Independent Insurance Agents of America</w:t>
      </w:r>
    </w:p>
    <w:p w:rsidR="004C43BA" w:rsidRPr="00A0542C" w:rsidRDefault="004C43BA" w:rsidP="004C43BA">
      <w:pPr>
        <w:contextualSpacing/>
        <w:rPr>
          <w:sz w:val="20"/>
          <w:szCs w:val="20"/>
        </w:rPr>
      </w:pPr>
      <w:r w:rsidRPr="00A0542C">
        <w:rPr>
          <w:sz w:val="20"/>
          <w:szCs w:val="20"/>
        </w:rPr>
        <w:t>Motion Picture Association of America</w:t>
      </w:r>
    </w:p>
    <w:p w:rsidR="004C43BA" w:rsidRPr="00A0542C" w:rsidRDefault="004C43BA" w:rsidP="004C43BA">
      <w:pPr>
        <w:contextualSpacing/>
        <w:rPr>
          <w:sz w:val="20"/>
          <w:szCs w:val="20"/>
        </w:rPr>
      </w:pPr>
      <w:r w:rsidRPr="00A0542C">
        <w:rPr>
          <w:sz w:val="20"/>
          <w:szCs w:val="20"/>
        </w:rPr>
        <w:t>National Association of Broadcasters</w:t>
      </w:r>
    </w:p>
    <w:p w:rsidR="004C43BA" w:rsidRPr="00A0542C" w:rsidRDefault="004C43BA" w:rsidP="004C43BA">
      <w:pPr>
        <w:contextualSpacing/>
        <w:rPr>
          <w:sz w:val="20"/>
          <w:szCs w:val="20"/>
        </w:rPr>
      </w:pPr>
      <w:r w:rsidRPr="00A0542C">
        <w:rPr>
          <w:sz w:val="20"/>
          <w:szCs w:val="20"/>
        </w:rPr>
        <w:t>National Association of Home Builders</w:t>
      </w:r>
    </w:p>
    <w:p w:rsidR="004C43BA" w:rsidRPr="00A0542C" w:rsidRDefault="004C43BA" w:rsidP="004C43BA">
      <w:pPr>
        <w:contextualSpacing/>
        <w:rPr>
          <w:sz w:val="20"/>
          <w:szCs w:val="20"/>
        </w:rPr>
      </w:pPr>
      <w:r w:rsidRPr="00A0542C">
        <w:rPr>
          <w:sz w:val="20"/>
          <w:szCs w:val="20"/>
        </w:rPr>
        <w:t>National Association of Manufacturers</w:t>
      </w:r>
    </w:p>
    <w:p w:rsidR="004C43BA" w:rsidRPr="00A0542C" w:rsidRDefault="004C43BA" w:rsidP="004C43BA">
      <w:pPr>
        <w:contextualSpacing/>
        <w:rPr>
          <w:sz w:val="20"/>
          <w:szCs w:val="20"/>
        </w:rPr>
      </w:pPr>
      <w:r w:rsidRPr="00A0542C">
        <w:rPr>
          <w:sz w:val="20"/>
          <w:szCs w:val="20"/>
        </w:rPr>
        <w:t>National Association of Realtors</w:t>
      </w:r>
    </w:p>
    <w:p w:rsidR="004C43BA" w:rsidRPr="00A0542C" w:rsidRDefault="004C43BA" w:rsidP="004C43BA">
      <w:pPr>
        <w:contextualSpacing/>
        <w:rPr>
          <w:sz w:val="20"/>
          <w:szCs w:val="20"/>
        </w:rPr>
      </w:pPr>
      <w:r w:rsidRPr="00A0542C">
        <w:rPr>
          <w:sz w:val="20"/>
          <w:szCs w:val="20"/>
        </w:rPr>
        <w:t>National Beer Wholesalers Association</w:t>
      </w:r>
    </w:p>
    <w:p w:rsidR="004C43BA" w:rsidRPr="00A0542C" w:rsidRDefault="004C43BA" w:rsidP="004C43BA">
      <w:pPr>
        <w:contextualSpacing/>
        <w:rPr>
          <w:sz w:val="20"/>
          <w:szCs w:val="20"/>
        </w:rPr>
      </w:pPr>
      <w:r w:rsidRPr="00A0542C">
        <w:rPr>
          <w:sz w:val="20"/>
          <w:szCs w:val="20"/>
        </w:rPr>
        <w:t>National Federation of Independent Business</w:t>
      </w:r>
    </w:p>
    <w:p w:rsidR="004C43BA" w:rsidRPr="00A0542C" w:rsidRDefault="004C43BA" w:rsidP="004C43BA">
      <w:pPr>
        <w:contextualSpacing/>
        <w:rPr>
          <w:sz w:val="20"/>
          <w:szCs w:val="20"/>
        </w:rPr>
      </w:pPr>
      <w:r w:rsidRPr="00A0542C">
        <w:rPr>
          <w:sz w:val="20"/>
          <w:szCs w:val="20"/>
        </w:rPr>
        <w:t>National Restaurant Association</w:t>
      </w:r>
    </w:p>
    <w:p w:rsidR="004C43BA" w:rsidRPr="00A0542C" w:rsidRDefault="004C43BA" w:rsidP="004C43BA">
      <w:pPr>
        <w:contextualSpacing/>
        <w:rPr>
          <w:sz w:val="20"/>
          <w:szCs w:val="20"/>
        </w:rPr>
      </w:pPr>
      <w:r w:rsidRPr="00A0542C">
        <w:rPr>
          <w:sz w:val="20"/>
          <w:szCs w:val="20"/>
        </w:rPr>
        <w:t>Oil Companies</w:t>
      </w:r>
    </w:p>
    <w:p w:rsidR="004C43BA" w:rsidRPr="00A0542C" w:rsidRDefault="004C43BA" w:rsidP="004C43BA">
      <w:pPr>
        <w:contextualSpacing/>
        <w:rPr>
          <w:sz w:val="20"/>
          <w:szCs w:val="20"/>
        </w:rPr>
      </w:pPr>
      <w:r w:rsidRPr="00A0542C">
        <w:rPr>
          <w:sz w:val="20"/>
          <w:szCs w:val="20"/>
        </w:rPr>
        <w:t>Pharmaceutical Research &amp; Manufacturers</w:t>
      </w:r>
    </w:p>
    <w:p w:rsidR="004C43BA" w:rsidRPr="00A0542C" w:rsidRDefault="004C43BA" w:rsidP="004C43BA">
      <w:pPr>
        <w:contextualSpacing/>
        <w:rPr>
          <w:sz w:val="20"/>
          <w:szCs w:val="20"/>
        </w:rPr>
      </w:pPr>
      <w:r w:rsidRPr="00A0542C">
        <w:rPr>
          <w:sz w:val="20"/>
          <w:szCs w:val="20"/>
        </w:rPr>
        <w:t>Recording Industry Association</w:t>
      </w:r>
    </w:p>
    <w:p w:rsidR="004C43BA" w:rsidRPr="00A0542C" w:rsidRDefault="004C43BA" w:rsidP="004C43BA">
      <w:pPr>
        <w:contextualSpacing/>
        <w:rPr>
          <w:sz w:val="20"/>
          <w:szCs w:val="20"/>
        </w:rPr>
      </w:pPr>
      <w:r w:rsidRPr="00A0542C">
        <w:rPr>
          <w:sz w:val="20"/>
          <w:szCs w:val="20"/>
        </w:rPr>
        <w:t>Securities and investment companies</w:t>
      </w:r>
    </w:p>
    <w:p w:rsidR="004C43BA" w:rsidRPr="00A0542C" w:rsidRDefault="004C43BA" w:rsidP="004C43BA">
      <w:pPr>
        <w:contextualSpacing/>
        <w:rPr>
          <w:sz w:val="20"/>
          <w:szCs w:val="20"/>
        </w:rPr>
      </w:pPr>
      <w:r w:rsidRPr="00A0542C">
        <w:rPr>
          <w:sz w:val="20"/>
          <w:szCs w:val="20"/>
        </w:rPr>
        <w:t>Telephone companies</w:t>
      </w:r>
    </w:p>
    <w:p w:rsidR="004C43BA" w:rsidRPr="00A0542C" w:rsidRDefault="004C43BA" w:rsidP="004C43BA">
      <w:pPr>
        <w:contextualSpacing/>
        <w:rPr>
          <w:sz w:val="20"/>
          <w:szCs w:val="20"/>
        </w:rPr>
      </w:pPr>
      <w:r w:rsidRPr="00A0542C">
        <w:rPr>
          <w:sz w:val="20"/>
          <w:szCs w:val="20"/>
        </w:rPr>
        <w:t>Tobacco companies</w:t>
      </w:r>
    </w:p>
    <w:p w:rsidR="004C43BA" w:rsidRPr="00A0542C" w:rsidRDefault="004C43BA" w:rsidP="004C43BA">
      <w:pPr>
        <w:contextualSpacing/>
        <w:rPr>
          <w:sz w:val="20"/>
          <w:szCs w:val="20"/>
        </w:rPr>
      </w:pPr>
    </w:p>
    <w:p w:rsidR="004C43BA" w:rsidRPr="00A0542C" w:rsidRDefault="004C43BA" w:rsidP="004C43BA">
      <w:pPr>
        <w:contextualSpacing/>
        <w:jc w:val="center"/>
        <w:rPr>
          <w:sz w:val="20"/>
          <w:szCs w:val="20"/>
          <w:u w:val="single"/>
        </w:rPr>
      </w:pPr>
      <w:r w:rsidRPr="00A0542C">
        <w:rPr>
          <w:sz w:val="20"/>
          <w:szCs w:val="20"/>
          <w:u w:val="single"/>
        </w:rPr>
        <w:t>Mass-based groups</w:t>
      </w:r>
    </w:p>
    <w:p w:rsidR="004C43BA" w:rsidRPr="00A0542C" w:rsidRDefault="004C43BA" w:rsidP="004C43BA">
      <w:pPr>
        <w:contextualSpacing/>
        <w:rPr>
          <w:sz w:val="20"/>
          <w:szCs w:val="20"/>
        </w:rPr>
      </w:pPr>
      <w:r w:rsidRPr="00A0542C">
        <w:rPr>
          <w:sz w:val="20"/>
          <w:szCs w:val="20"/>
        </w:rPr>
        <w:t>AARP</w:t>
      </w:r>
    </w:p>
    <w:p w:rsidR="004C43BA" w:rsidRPr="00A0542C" w:rsidRDefault="004C43BA" w:rsidP="004C43BA">
      <w:pPr>
        <w:contextualSpacing/>
        <w:rPr>
          <w:sz w:val="20"/>
          <w:szCs w:val="20"/>
        </w:rPr>
      </w:pPr>
      <w:r w:rsidRPr="00A0542C">
        <w:rPr>
          <w:sz w:val="20"/>
          <w:szCs w:val="20"/>
        </w:rPr>
        <w:t>AFL-CIO</w:t>
      </w:r>
    </w:p>
    <w:p w:rsidR="004C43BA" w:rsidRPr="00A0542C" w:rsidRDefault="004C43BA" w:rsidP="004C43BA">
      <w:pPr>
        <w:contextualSpacing/>
        <w:rPr>
          <w:sz w:val="20"/>
          <w:szCs w:val="20"/>
        </w:rPr>
      </w:pPr>
      <w:r w:rsidRPr="00A0542C">
        <w:rPr>
          <w:sz w:val="20"/>
          <w:szCs w:val="20"/>
        </w:rPr>
        <w:t>American Federation of State, County, and Municipal Employees</w:t>
      </w:r>
    </w:p>
    <w:p w:rsidR="004C43BA" w:rsidRPr="00A0542C" w:rsidRDefault="004C43BA" w:rsidP="004C43BA">
      <w:pPr>
        <w:contextualSpacing/>
        <w:rPr>
          <w:sz w:val="20"/>
          <w:szCs w:val="20"/>
        </w:rPr>
      </w:pPr>
      <w:r w:rsidRPr="00A0542C">
        <w:rPr>
          <w:sz w:val="20"/>
          <w:szCs w:val="20"/>
        </w:rPr>
        <w:t>American Israel Public Affairs Committee</w:t>
      </w:r>
    </w:p>
    <w:p w:rsidR="004C43BA" w:rsidRPr="00A0542C" w:rsidRDefault="004C43BA" w:rsidP="004C43BA">
      <w:pPr>
        <w:contextualSpacing/>
        <w:rPr>
          <w:sz w:val="20"/>
          <w:szCs w:val="20"/>
        </w:rPr>
      </w:pPr>
      <w:r w:rsidRPr="00A0542C">
        <w:rPr>
          <w:sz w:val="20"/>
          <w:szCs w:val="20"/>
        </w:rPr>
        <w:t>American Legion</w:t>
      </w:r>
    </w:p>
    <w:p w:rsidR="004C43BA" w:rsidRPr="00A0542C" w:rsidRDefault="004C43BA" w:rsidP="004C43BA">
      <w:pPr>
        <w:contextualSpacing/>
        <w:rPr>
          <w:sz w:val="20"/>
          <w:szCs w:val="20"/>
        </w:rPr>
      </w:pPr>
      <w:r w:rsidRPr="00A0542C">
        <w:rPr>
          <w:sz w:val="20"/>
          <w:szCs w:val="20"/>
        </w:rPr>
        <w:t xml:space="preserve">Christian Coalition </w:t>
      </w:r>
    </w:p>
    <w:p w:rsidR="004C43BA" w:rsidRPr="00A0542C" w:rsidRDefault="004C43BA" w:rsidP="004C43BA">
      <w:pPr>
        <w:contextualSpacing/>
        <w:rPr>
          <w:sz w:val="20"/>
          <w:szCs w:val="20"/>
        </w:rPr>
      </w:pPr>
      <w:r w:rsidRPr="00A0542C">
        <w:rPr>
          <w:sz w:val="20"/>
          <w:szCs w:val="20"/>
        </w:rPr>
        <w:t xml:space="preserve">International Brotherhood of Teamsters </w:t>
      </w:r>
    </w:p>
    <w:p w:rsidR="004C43BA" w:rsidRPr="00A0542C" w:rsidRDefault="004C43BA" w:rsidP="004C43BA">
      <w:pPr>
        <w:contextualSpacing/>
        <w:rPr>
          <w:sz w:val="20"/>
          <w:szCs w:val="20"/>
        </w:rPr>
      </w:pPr>
      <w:r w:rsidRPr="00A0542C">
        <w:rPr>
          <w:sz w:val="20"/>
          <w:szCs w:val="20"/>
        </w:rPr>
        <w:t>National Rifle Association</w:t>
      </w:r>
    </w:p>
    <w:p w:rsidR="004C43BA" w:rsidRPr="00A0542C" w:rsidRDefault="004C43BA" w:rsidP="004C43BA">
      <w:pPr>
        <w:contextualSpacing/>
        <w:rPr>
          <w:sz w:val="20"/>
          <w:szCs w:val="20"/>
        </w:rPr>
      </w:pPr>
      <w:r w:rsidRPr="00A0542C">
        <w:rPr>
          <w:sz w:val="20"/>
          <w:szCs w:val="20"/>
        </w:rPr>
        <w:t xml:space="preserve">National Right to Life Committee </w:t>
      </w:r>
    </w:p>
    <w:p w:rsidR="004C43BA" w:rsidRPr="00A0542C" w:rsidRDefault="004C43BA" w:rsidP="004C43BA">
      <w:pPr>
        <w:contextualSpacing/>
        <w:rPr>
          <w:sz w:val="20"/>
          <w:szCs w:val="20"/>
        </w:rPr>
      </w:pPr>
      <w:r w:rsidRPr="00A0542C">
        <w:rPr>
          <w:sz w:val="20"/>
          <w:szCs w:val="20"/>
        </w:rPr>
        <w:t>United Auto Workers union</w:t>
      </w:r>
    </w:p>
    <w:p w:rsidR="004C43BA" w:rsidRPr="00A0542C" w:rsidRDefault="004C43BA" w:rsidP="004C43BA">
      <w:pPr>
        <w:contextualSpacing/>
        <w:rPr>
          <w:sz w:val="20"/>
          <w:szCs w:val="20"/>
        </w:rPr>
      </w:pPr>
      <w:proofErr w:type="gramStart"/>
      <w:r w:rsidRPr="00A0542C">
        <w:rPr>
          <w:sz w:val="20"/>
          <w:szCs w:val="20"/>
        </w:rPr>
        <w:t>Veterans of Foreign Wars of the U.S.</w:t>
      </w:r>
      <w:proofErr w:type="gramEnd"/>
    </w:p>
    <w:p w:rsidR="004C43BA" w:rsidRPr="00A0542C" w:rsidRDefault="004C43BA" w:rsidP="004C43BA">
      <w:pPr>
        <w:contextualSpacing/>
        <w:rPr>
          <w:sz w:val="20"/>
          <w:szCs w:val="20"/>
        </w:rPr>
      </w:pPr>
    </w:p>
    <w:p w:rsidR="004C43BA" w:rsidRDefault="004C43BA" w:rsidP="004C43BA">
      <w:pPr>
        <w:contextualSpacing/>
        <w:jc w:val="center"/>
        <w:rPr>
          <w:sz w:val="20"/>
          <w:szCs w:val="20"/>
          <w:u w:val="single"/>
        </w:rPr>
      </w:pPr>
      <w:r>
        <w:rPr>
          <w:sz w:val="20"/>
          <w:szCs w:val="20"/>
          <w:u w:val="single"/>
        </w:rPr>
        <w:t xml:space="preserve">Not coded as </w:t>
      </w:r>
      <w:r w:rsidRPr="00A0542C">
        <w:rPr>
          <w:sz w:val="20"/>
          <w:szCs w:val="20"/>
          <w:u w:val="single"/>
        </w:rPr>
        <w:t xml:space="preserve">either business or </w:t>
      </w:r>
      <w:r>
        <w:rPr>
          <w:sz w:val="20"/>
          <w:szCs w:val="20"/>
          <w:u w:val="single"/>
        </w:rPr>
        <w:t>m</w:t>
      </w:r>
      <w:r w:rsidRPr="00A0542C">
        <w:rPr>
          <w:sz w:val="20"/>
          <w:szCs w:val="20"/>
          <w:u w:val="single"/>
        </w:rPr>
        <w:t>ass-based</w:t>
      </w:r>
    </w:p>
    <w:p w:rsidR="004C43BA" w:rsidRPr="00A0542C" w:rsidRDefault="004C43BA" w:rsidP="004C43BA">
      <w:pPr>
        <w:contextualSpacing/>
        <w:jc w:val="center"/>
        <w:rPr>
          <w:sz w:val="20"/>
          <w:szCs w:val="20"/>
        </w:rPr>
      </w:pPr>
    </w:p>
    <w:p w:rsidR="004C43BA" w:rsidRPr="00A0542C" w:rsidRDefault="004C43BA" w:rsidP="004C43BA">
      <w:pPr>
        <w:contextualSpacing/>
        <w:rPr>
          <w:sz w:val="20"/>
          <w:szCs w:val="20"/>
        </w:rPr>
      </w:pPr>
      <w:r w:rsidRPr="00A0542C">
        <w:rPr>
          <w:sz w:val="20"/>
          <w:szCs w:val="20"/>
        </w:rPr>
        <w:t>National Education Association</w:t>
      </w:r>
      <w:r>
        <w:rPr>
          <w:sz w:val="20"/>
          <w:szCs w:val="20"/>
        </w:rPr>
        <w:t xml:space="preserve"> (includes a mass base of teachers but also university professors)</w:t>
      </w:r>
      <w:r w:rsidRPr="00A0542C">
        <w:rPr>
          <w:sz w:val="20"/>
          <w:szCs w:val="20"/>
        </w:rPr>
        <w:t xml:space="preserve"> </w:t>
      </w:r>
    </w:p>
    <w:p w:rsidR="004C43BA" w:rsidRPr="00A0542C" w:rsidRDefault="004C43BA" w:rsidP="004C43BA">
      <w:pPr>
        <w:contextualSpacing/>
        <w:rPr>
          <w:sz w:val="20"/>
          <w:szCs w:val="20"/>
        </w:rPr>
      </w:pPr>
      <w:r>
        <w:rPr>
          <w:sz w:val="20"/>
          <w:szCs w:val="20"/>
        </w:rPr>
        <w:t>National Governors' Association (affected by interest groups rather than acting as an independent group)</w:t>
      </w:r>
    </w:p>
    <w:p w:rsidR="004C43BA" w:rsidRDefault="004C43BA" w:rsidP="004C43BA">
      <w:pPr>
        <w:contextualSpacing/>
        <w:rPr>
          <w:sz w:val="20"/>
          <w:szCs w:val="20"/>
        </w:rPr>
      </w:pPr>
      <w:r w:rsidRPr="00A0542C">
        <w:rPr>
          <w:sz w:val="20"/>
          <w:szCs w:val="20"/>
        </w:rPr>
        <w:t>Universities</w:t>
      </w:r>
      <w:r>
        <w:rPr>
          <w:sz w:val="20"/>
          <w:szCs w:val="20"/>
        </w:rPr>
        <w:t xml:space="preserve"> (unclear status as businesses or nonprofits) </w:t>
      </w:r>
    </w:p>
    <w:p w:rsidR="004C43BA" w:rsidRPr="006F5F02" w:rsidRDefault="004C43BA" w:rsidP="004C43BA">
      <w:pPr>
        <w:ind w:firstLine="720"/>
        <w:contextualSpacing/>
        <w:jc w:val="center"/>
        <w:rPr>
          <w:b/>
          <w:noProof/>
        </w:rPr>
      </w:pPr>
      <w:r>
        <w:rPr>
          <w:color w:val="000000"/>
        </w:rPr>
        <w:br w:type="page"/>
      </w:r>
      <w:r w:rsidRPr="006F5F02">
        <w:rPr>
          <w:b/>
          <w:noProof/>
        </w:rPr>
        <w:lastRenderedPageBreak/>
        <w:t>Appendix 2.  Correcting for Measurement Error</w:t>
      </w:r>
    </w:p>
    <w:p w:rsidR="004C43BA" w:rsidRDefault="004C43BA" w:rsidP="004C43BA">
      <w:pPr>
        <w:contextualSpacing/>
        <w:rPr>
          <w:noProof/>
        </w:rPr>
      </w:pPr>
    </w:p>
    <w:p w:rsidR="004C43BA" w:rsidRDefault="004C43BA" w:rsidP="004C43BA">
      <w:pPr>
        <w:spacing w:line="480" w:lineRule="auto"/>
        <w:ind w:firstLine="720"/>
        <w:contextualSpacing/>
        <w:rPr>
          <w:noProof/>
        </w:rPr>
      </w:pPr>
      <w:r>
        <w:rPr>
          <w:noProof/>
        </w:rPr>
        <w:t>Measurement error is unavoidable in social science data.  Its consequences depend on both the magnitude and the nature of error and, in particular, on whether the errors in measurement of one variable are correlated with the errors of other variables in a given model.</w:t>
      </w:r>
    </w:p>
    <w:p w:rsidR="004C43BA" w:rsidRDefault="004C43BA" w:rsidP="004C43BA">
      <w:pPr>
        <w:spacing w:line="480" w:lineRule="auto"/>
        <w:ind w:firstLine="720"/>
        <w:contextualSpacing/>
        <w:rPr>
          <w:noProof/>
        </w:rPr>
      </w:pPr>
      <w:r>
        <w:rPr>
          <w:noProof/>
        </w:rPr>
        <w:t>The predictors used in our analyses come from two distinct data sources: aggregate survey data, for estimating the policy preferencs of median- and high-income Americans; and historical data on interest group issue engagement, for generating the Net Interest Group Alignment Indices. Because our measures of interest group alignments are entirely distinct from the preference measures in origin,  there is no reason to expect that their measurement errors would be correlated across policies with those for our other two independent variables. In the case of interest group policy dispositions, then, we have only uncorrelated (random or “classical”) measurement error to consider. We estimate this error based on inter-coder reliability (Chronbach’s alpha) of .87.</w:t>
      </w:r>
    </w:p>
    <w:p w:rsidR="004C43BA" w:rsidRDefault="004C43BA" w:rsidP="004C43BA">
      <w:pPr>
        <w:spacing w:line="480" w:lineRule="auto"/>
        <w:ind w:firstLine="720"/>
        <w:contextualSpacing/>
        <w:rPr>
          <w:noProof/>
        </w:rPr>
      </w:pPr>
      <w:r>
        <w:rPr>
          <w:noProof/>
        </w:rPr>
        <w:t>But our two other independent variables come from a single data source, the same set of national opinion surveys. Consequently, errors in our measures of the policy preferences of average citizens and those of economic elites are likely to be positively correlated with each other. Errors affecting both measures in the same way within a particular survey can arise from such factors as sampling, question wording, question order, topics in the news at the time the survey was in the field, and so on.</w:t>
      </w:r>
      <w:r>
        <w:rPr>
          <w:rStyle w:val="EndnoteReference"/>
          <w:noProof/>
        </w:rPr>
        <w:endnoteReference w:id="1"/>
      </w:r>
      <w:r>
        <w:rPr>
          <w:noProof/>
        </w:rPr>
        <w:t xml:space="preserve"> Correlated errors on these preference measures tend to produce upwardly biased statistical relationships between the two independent variables, producing a higher uncorrected correlation between them (r=.94) than the corrected r=.78 shown in Table 2.  </w:t>
      </w:r>
    </w:p>
    <w:p w:rsidR="004C43BA" w:rsidRDefault="004C43BA" w:rsidP="004C43BA">
      <w:pPr>
        <w:spacing w:line="480" w:lineRule="auto"/>
        <w:ind w:firstLine="720"/>
        <w:contextualSpacing/>
        <w:rPr>
          <w:noProof/>
        </w:rPr>
      </w:pPr>
      <w:r>
        <w:rPr>
          <w:noProof/>
        </w:rPr>
        <w:t>In order to assess the magnitude of correlated errors, multiple measures of the same underlying concept or attitude are needed. These are available for a subset of 387 of the 1,779 proposed policy changes in our dataset, for which which more than one survey question addressed essentially the same policy issue and was asked in the same calendar year. Using the subset of proposed changes with multiple measures, the error covariance between preferences of median and high income Americans was estimated to account for 17 percent of the total covariance between these measures.</w:t>
      </w:r>
      <w:r>
        <w:rPr>
          <w:rStyle w:val="EndnoteReference"/>
          <w:noProof/>
        </w:rPr>
        <w:endnoteReference w:id="2"/>
      </w:r>
      <w:r>
        <w:rPr>
          <w:noProof/>
        </w:rPr>
        <w:t xml:space="preserve"> </w:t>
      </w:r>
    </w:p>
    <w:p w:rsidR="004C43BA" w:rsidRDefault="004C43BA" w:rsidP="004C43BA">
      <w:pPr>
        <w:spacing w:line="480" w:lineRule="auto"/>
        <w:ind w:firstLine="720"/>
        <w:contextualSpacing/>
        <w:rPr>
          <w:noProof/>
        </w:rPr>
      </w:pPr>
      <w:r>
        <w:rPr>
          <w:noProof/>
        </w:rPr>
        <w:t xml:space="preserve">Using the measurement error estimates described above, we estimated structural equation models in AMOS that purged of error the structural coefficients representing the associations of the predictors with our outcome measure. The resulting coefficients are reported in tables 3 and 4 and are translated into predicted probabilities in figure 1. </w:t>
      </w:r>
    </w:p>
    <w:p w:rsidR="004C43BA" w:rsidRDefault="004C43BA" w:rsidP="004C43BA">
      <w:pPr>
        <w:spacing w:line="480" w:lineRule="auto"/>
        <w:ind w:firstLine="720"/>
        <w:contextualSpacing/>
        <w:rPr>
          <w:noProof/>
        </w:rPr>
      </w:pPr>
      <w:r>
        <w:rPr>
          <w:noProof/>
        </w:rPr>
        <w:t>For comparison, appendix table A1 shows the results from an ordinary least squares regression that parallels the multivariate model in table 3 but in which measurement error is not taken into account. The implausible negative coefficient for average citizens and the impluasibly large positive coefficient for economic elites suggests the presence of correlated measurement error.</w:t>
      </w:r>
      <w:r>
        <w:rPr>
          <w:rStyle w:val="EndnoteReference"/>
          <w:noProof/>
        </w:rPr>
        <w:endnoteReference w:id="3"/>
      </w:r>
    </w:p>
    <w:p w:rsidR="004C43BA" w:rsidRDefault="004C43BA" w:rsidP="004C43BA">
      <w:pPr>
        <w:spacing w:line="480" w:lineRule="auto"/>
        <w:ind w:firstLine="720"/>
        <w:contextualSpacing/>
        <w:rPr>
          <w:noProof/>
        </w:rPr>
      </w:pPr>
      <w:r w:rsidRPr="00591CF4">
        <w:rPr>
          <w:noProof/>
        </w:rPr>
        <w:t>As noted above, the corrections for measurement error described here can help reduce flaws in our measures that affect the relationship between our indictors and their underlying concepts. But these corrections cannot address the flaws that arise from the imperfect fit between those concepts and the characteristics we would prefer to measure (such as our use of the 90th income perenctile as a proxy for economic elites).</w:t>
      </w:r>
    </w:p>
    <w:p w:rsidR="004C43BA" w:rsidRDefault="004C43BA" w:rsidP="004C43BA">
      <w:pPr>
        <w:spacing w:after="200" w:line="276" w:lineRule="auto"/>
        <w:rPr>
          <w:b/>
        </w:rPr>
      </w:pPr>
      <w:r>
        <w:rPr>
          <w:b/>
        </w:rPr>
        <w:br w:type="page"/>
      </w:r>
    </w:p>
    <w:p w:rsidR="004C43BA" w:rsidRDefault="004C43BA" w:rsidP="004C43BA">
      <w:pPr>
        <w:contextualSpacing/>
        <w:rPr>
          <w:b/>
        </w:rPr>
      </w:pPr>
      <w:r>
        <w:rPr>
          <w:b/>
        </w:rPr>
        <w:t xml:space="preserve">Table A1. </w:t>
      </w:r>
      <w:proofErr w:type="gramStart"/>
      <w:r>
        <w:rPr>
          <w:b/>
        </w:rPr>
        <w:t>Ordinary Least Squares Analysis Parallel to the Structural Equation Model Presented in Table 3.</w:t>
      </w:r>
      <w:proofErr w:type="gramEnd"/>
    </w:p>
    <w:p w:rsidR="004C43BA" w:rsidRPr="00B87EC2" w:rsidRDefault="004C43BA" w:rsidP="004C43BA">
      <w:pPr>
        <w:contextualSpacing/>
        <w:rPr>
          <w:b/>
        </w:rPr>
      </w:pPr>
    </w:p>
    <w:tbl>
      <w:tblPr>
        <w:tblW w:w="8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26"/>
        <w:gridCol w:w="4237"/>
        <w:gridCol w:w="39"/>
      </w:tblGrid>
      <w:tr w:rsidR="004C43BA" w:rsidRPr="00477AD9" w:rsidTr="00E95B07">
        <w:trPr>
          <w:gridAfter w:val="1"/>
          <w:wAfter w:w="39" w:type="dxa"/>
          <w:jc w:val="center"/>
        </w:trPr>
        <w:tc>
          <w:tcPr>
            <w:tcW w:w="4126" w:type="dxa"/>
            <w:tcBorders>
              <w:top w:val="nil"/>
              <w:left w:val="nil"/>
              <w:bottom w:val="nil"/>
              <w:right w:val="nil"/>
            </w:tcBorders>
          </w:tcPr>
          <w:p w:rsidR="004C43BA"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pPr>
          </w:p>
          <w:p w:rsidR="004C43BA" w:rsidRPr="00477AD9"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pPr>
          </w:p>
          <w:p w:rsidR="004C43BA" w:rsidRPr="00477AD9"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pPr>
          </w:p>
        </w:tc>
        <w:tc>
          <w:tcPr>
            <w:tcW w:w="4237" w:type="dxa"/>
            <w:tcBorders>
              <w:top w:val="nil"/>
              <w:left w:val="nil"/>
              <w:bottom w:val="nil"/>
              <w:right w:val="nil"/>
            </w:tcBorders>
          </w:tcPr>
          <w:p w:rsidR="004C43BA" w:rsidRPr="00477AD9"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jc w:val="center"/>
              <w:rPr>
                <w:u w:val="single"/>
              </w:rPr>
            </w:pPr>
            <w:r>
              <w:rPr>
                <w:u w:val="single"/>
              </w:rPr>
              <w:t>Compare with table 3, model 4</w:t>
            </w:r>
          </w:p>
        </w:tc>
      </w:tr>
      <w:tr w:rsidR="004C43BA" w:rsidRPr="00477AD9" w:rsidTr="00E95B07">
        <w:trPr>
          <w:gridAfter w:val="1"/>
          <w:wAfter w:w="39" w:type="dxa"/>
          <w:jc w:val="center"/>
        </w:trPr>
        <w:tc>
          <w:tcPr>
            <w:tcW w:w="4126" w:type="dxa"/>
            <w:tcBorders>
              <w:top w:val="nil"/>
              <w:left w:val="nil"/>
              <w:bottom w:val="nil"/>
              <w:right w:val="nil"/>
            </w:tcBorders>
          </w:tcPr>
          <w:p w:rsidR="004C43BA" w:rsidRDefault="004C43BA" w:rsidP="00E95B07">
            <w:pPr>
              <w:contextualSpacing/>
            </w:pPr>
            <w:r>
              <w:t>Preferences of average citizens</w:t>
            </w:r>
          </w:p>
          <w:p w:rsidR="004C43BA" w:rsidRDefault="004C43BA" w:rsidP="00E95B07">
            <w:pPr>
              <w:contextualSpacing/>
            </w:pPr>
          </w:p>
          <w:p w:rsidR="004C43BA" w:rsidRDefault="004C43BA" w:rsidP="00E95B07">
            <w:pPr>
              <w:contextualSpacing/>
            </w:pPr>
            <w:r>
              <w:t>Preferences of economic elites</w:t>
            </w:r>
          </w:p>
          <w:p w:rsidR="004C43BA" w:rsidRDefault="004C43BA" w:rsidP="00E95B07">
            <w:pPr>
              <w:contextualSpacing/>
            </w:pPr>
          </w:p>
          <w:p w:rsidR="004C43BA" w:rsidRPr="00477AD9"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pPr>
            <w:r>
              <w:t xml:space="preserve">Alignment of Interest groups </w:t>
            </w:r>
          </w:p>
        </w:tc>
        <w:tc>
          <w:tcPr>
            <w:tcW w:w="4237" w:type="dxa"/>
            <w:tcBorders>
              <w:top w:val="nil"/>
              <w:left w:val="nil"/>
              <w:bottom w:val="nil"/>
              <w:right w:val="nil"/>
            </w:tcBorders>
          </w:tcPr>
          <w:p w:rsidR="004C43BA" w:rsidRDefault="004C43BA" w:rsidP="00E95B07">
            <w:pPr>
              <w:tabs>
                <w:tab w:val="decimal" w:pos="204"/>
                <w:tab w:val="left" w:pos="720"/>
                <w:tab w:val="left" w:pos="1080"/>
                <w:tab w:val="left" w:pos="1440"/>
                <w:tab w:val="left" w:pos="1800"/>
                <w:tab w:val="left" w:pos="2250"/>
                <w:tab w:val="left" w:pos="2520"/>
                <w:tab w:val="left" w:pos="2880"/>
                <w:tab w:val="left" w:pos="3240"/>
                <w:tab w:val="left" w:pos="3600"/>
              </w:tabs>
              <w:contextualSpacing/>
              <w:jc w:val="center"/>
            </w:pPr>
            <w:r>
              <w:t>-.93 (.24) ***</w:t>
            </w:r>
          </w:p>
          <w:p w:rsidR="004C43BA" w:rsidRDefault="004C43BA" w:rsidP="00E95B07">
            <w:pPr>
              <w:tabs>
                <w:tab w:val="decimal" w:pos="204"/>
                <w:tab w:val="left" w:pos="720"/>
                <w:tab w:val="left" w:pos="1080"/>
                <w:tab w:val="left" w:pos="1440"/>
                <w:tab w:val="left" w:pos="1800"/>
                <w:tab w:val="left" w:pos="2250"/>
                <w:tab w:val="left" w:pos="2520"/>
                <w:tab w:val="left" w:pos="2880"/>
                <w:tab w:val="left" w:pos="3240"/>
                <w:tab w:val="left" w:pos="3600"/>
              </w:tabs>
              <w:contextualSpacing/>
              <w:jc w:val="center"/>
            </w:pPr>
          </w:p>
          <w:p w:rsidR="004C43BA" w:rsidRDefault="004C43BA" w:rsidP="00E95B07">
            <w:pPr>
              <w:tabs>
                <w:tab w:val="decimal" w:pos="204"/>
                <w:tab w:val="left" w:pos="720"/>
                <w:tab w:val="left" w:pos="1080"/>
                <w:tab w:val="left" w:pos="1440"/>
                <w:tab w:val="left" w:pos="1800"/>
                <w:tab w:val="left" w:pos="2250"/>
                <w:tab w:val="left" w:pos="2520"/>
                <w:tab w:val="left" w:pos="2880"/>
                <w:tab w:val="left" w:pos="3240"/>
                <w:tab w:val="left" w:pos="3600"/>
              </w:tabs>
              <w:contextualSpacing/>
              <w:jc w:val="center"/>
            </w:pPr>
            <w:r>
              <w:t>1.66 (.24) ***</w:t>
            </w:r>
          </w:p>
          <w:p w:rsidR="004C43BA" w:rsidRDefault="004C43BA" w:rsidP="00E95B07">
            <w:pPr>
              <w:tabs>
                <w:tab w:val="decimal" w:pos="204"/>
                <w:tab w:val="left" w:pos="720"/>
                <w:tab w:val="left" w:pos="1080"/>
                <w:tab w:val="left" w:pos="1440"/>
                <w:tab w:val="left" w:pos="1800"/>
                <w:tab w:val="left" w:pos="2250"/>
                <w:tab w:val="left" w:pos="2520"/>
                <w:tab w:val="left" w:pos="2880"/>
                <w:tab w:val="left" w:pos="3240"/>
                <w:tab w:val="left" w:pos="3600"/>
              </w:tabs>
              <w:contextualSpacing/>
              <w:jc w:val="center"/>
            </w:pPr>
          </w:p>
          <w:p w:rsidR="004C43BA" w:rsidRPr="00477AD9" w:rsidRDefault="004C43BA" w:rsidP="00E95B07">
            <w:pPr>
              <w:tabs>
                <w:tab w:val="decimal" w:pos="204"/>
                <w:tab w:val="left" w:pos="720"/>
                <w:tab w:val="left" w:pos="1080"/>
                <w:tab w:val="left" w:pos="1440"/>
                <w:tab w:val="left" w:pos="1800"/>
                <w:tab w:val="left" w:pos="2250"/>
                <w:tab w:val="left" w:pos="2520"/>
                <w:tab w:val="left" w:pos="2880"/>
                <w:tab w:val="left" w:pos="3240"/>
                <w:tab w:val="left" w:pos="3600"/>
              </w:tabs>
              <w:contextualSpacing/>
              <w:jc w:val="center"/>
            </w:pPr>
            <w:r>
              <w:t>.46 (.07) ***</w:t>
            </w:r>
          </w:p>
        </w:tc>
      </w:tr>
      <w:tr w:rsidR="004C43BA" w:rsidRPr="00477AD9" w:rsidTr="00E95B07">
        <w:trPr>
          <w:gridAfter w:val="1"/>
          <w:wAfter w:w="39" w:type="dxa"/>
          <w:jc w:val="center"/>
        </w:trPr>
        <w:tc>
          <w:tcPr>
            <w:tcW w:w="4126" w:type="dxa"/>
            <w:tcBorders>
              <w:top w:val="nil"/>
              <w:left w:val="nil"/>
              <w:bottom w:val="nil"/>
              <w:right w:val="nil"/>
            </w:tcBorders>
          </w:tcPr>
          <w:p w:rsidR="004C43BA"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pPr>
            <w:r w:rsidRPr="00477AD9">
              <w:t xml:space="preserve"> </w:t>
            </w:r>
          </w:p>
          <w:p w:rsidR="004C43BA" w:rsidRPr="00477AD9"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pPr>
            <w:r w:rsidRPr="00477AD9">
              <w:t>N</w:t>
            </w:r>
          </w:p>
          <w:p w:rsidR="004C43BA" w:rsidRPr="00477AD9"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pPr>
            <w:r w:rsidRPr="00477AD9">
              <w:t xml:space="preserve"> R-</w:t>
            </w:r>
            <w:proofErr w:type="spellStart"/>
            <w:r w:rsidRPr="00477AD9">
              <w:t>sq</w:t>
            </w:r>
            <w:proofErr w:type="spellEnd"/>
          </w:p>
        </w:tc>
        <w:tc>
          <w:tcPr>
            <w:tcW w:w="4237" w:type="dxa"/>
            <w:tcBorders>
              <w:top w:val="nil"/>
              <w:left w:val="nil"/>
              <w:bottom w:val="nil"/>
              <w:right w:val="nil"/>
            </w:tcBorders>
          </w:tcPr>
          <w:p w:rsidR="004C43BA"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jc w:val="center"/>
            </w:pPr>
          </w:p>
          <w:p w:rsidR="004C43BA" w:rsidRPr="00477AD9"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jc w:val="center"/>
            </w:pPr>
            <w:r w:rsidRPr="00477AD9">
              <w:t>1,779</w:t>
            </w:r>
          </w:p>
          <w:p w:rsidR="004C43BA" w:rsidRPr="00477AD9"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jc w:val="center"/>
            </w:pPr>
            <w:r w:rsidRPr="00477AD9">
              <w:t>.0</w:t>
            </w:r>
            <w:r>
              <w:t>8</w:t>
            </w:r>
          </w:p>
        </w:tc>
      </w:tr>
      <w:tr w:rsidR="004C43BA" w:rsidRPr="00477AD9" w:rsidTr="00E95B07">
        <w:trPr>
          <w:jc w:val="center"/>
        </w:trPr>
        <w:tc>
          <w:tcPr>
            <w:tcW w:w="8402" w:type="dxa"/>
            <w:gridSpan w:val="3"/>
            <w:tcBorders>
              <w:top w:val="nil"/>
              <w:left w:val="nil"/>
              <w:bottom w:val="nil"/>
              <w:right w:val="nil"/>
            </w:tcBorders>
          </w:tcPr>
          <w:p w:rsidR="004C43BA" w:rsidRPr="00477AD9"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pPr>
          </w:p>
          <w:p w:rsidR="004C43BA" w:rsidRPr="00477AD9"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pPr>
            <w:r w:rsidRPr="00477AD9">
              <w:t>***</w:t>
            </w:r>
            <w:proofErr w:type="gramStart"/>
            <w:r w:rsidRPr="00477AD9">
              <w:t>p</w:t>
            </w:r>
            <w:proofErr w:type="gramEnd"/>
            <w:r w:rsidRPr="00477AD9">
              <w:t>&lt;.001</w:t>
            </w:r>
          </w:p>
          <w:p w:rsidR="004C43BA" w:rsidRPr="00477AD9"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pPr>
          </w:p>
          <w:p w:rsidR="004C43BA" w:rsidRPr="00477AD9"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pPr>
            <w:r>
              <w:t xml:space="preserve">Note: All predictors are scaled to range from 0 to 1. The dependent variable is the policy outcome, coded 1 if the proposed policy change took place within four years of the survey date and 0 if it did not. Predictors are the </w:t>
            </w:r>
            <w:proofErr w:type="spellStart"/>
            <w:r>
              <w:t>logits</w:t>
            </w:r>
            <w:proofErr w:type="spellEnd"/>
            <w:r>
              <w:t xml:space="preserve"> of the imputed percent of respondents at the 50th (“average citizens”) or 90th (“economic elites”) income percentile that favor the proposed policy change, and the Net Interest Group Alignment Indices described in the text.  </w:t>
            </w:r>
          </w:p>
          <w:p w:rsidR="004C43BA" w:rsidRPr="00477AD9" w:rsidRDefault="004C43BA" w:rsidP="00E95B07">
            <w:pPr>
              <w:tabs>
                <w:tab w:val="left" w:pos="360"/>
                <w:tab w:val="left" w:pos="720"/>
                <w:tab w:val="left" w:pos="1080"/>
                <w:tab w:val="left" w:pos="1440"/>
                <w:tab w:val="left" w:pos="1800"/>
                <w:tab w:val="left" w:pos="2250"/>
                <w:tab w:val="left" w:pos="2520"/>
                <w:tab w:val="left" w:pos="2880"/>
                <w:tab w:val="left" w:pos="3240"/>
                <w:tab w:val="left" w:pos="3600"/>
              </w:tabs>
              <w:contextualSpacing/>
              <w:rPr>
                <w:sz w:val="12"/>
                <w:szCs w:val="12"/>
              </w:rPr>
            </w:pPr>
          </w:p>
        </w:tc>
      </w:tr>
    </w:tbl>
    <w:p w:rsidR="004C43BA" w:rsidRPr="00D40DB4" w:rsidRDefault="004C43BA" w:rsidP="004C43BA">
      <w:pPr>
        <w:contextualSpacing/>
      </w:pPr>
    </w:p>
    <w:p w:rsidR="004C43BA" w:rsidRPr="00804BC4" w:rsidRDefault="004C43BA" w:rsidP="004C43BA">
      <w:pPr>
        <w:rPr>
          <w:color w:val="000000"/>
        </w:rPr>
      </w:pPr>
    </w:p>
    <w:p w:rsidR="008833D2" w:rsidRDefault="004C43BA" w:rsidP="004C43BA">
      <w:r>
        <w:rPr>
          <w:noProof/>
        </w:rPr>
        <w:br w:type="page"/>
      </w:r>
    </w:p>
    <w:sectPr w:rsidR="008833D2" w:rsidSect="008833D2">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3BA" w:rsidRDefault="004C43BA" w:rsidP="004C43BA">
      <w:r>
        <w:separator/>
      </w:r>
    </w:p>
  </w:endnote>
  <w:endnote w:type="continuationSeparator" w:id="0">
    <w:p w:rsidR="004C43BA" w:rsidRDefault="004C43BA" w:rsidP="004C43BA">
      <w:r>
        <w:continuationSeparator/>
      </w:r>
    </w:p>
  </w:endnote>
  <w:endnote w:id="1">
    <w:p w:rsidR="004C43BA" w:rsidRPr="00B022FE" w:rsidRDefault="004C43BA" w:rsidP="004C43BA">
      <w:pPr>
        <w:pStyle w:val="EndnoteText"/>
      </w:pPr>
      <w:r w:rsidRPr="00B022FE">
        <w:rPr>
          <w:rStyle w:val="EndnoteReference"/>
        </w:rPr>
        <w:endnoteRef/>
      </w:r>
      <w:r w:rsidRPr="00B022FE">
        <w:t xml:space="preserve"> Since these factors do not affect the interest group coding we are less concerned about possible correlated error between the mass and business interest group indices. See O'Brien, Robert M. "Correcting Measures of Relationship between Aggregate-Level Variables." Sociological Methodology 21 (1994): 125-65 and O'Brien, Robert M. "Correcting Measures of Relationship between Aggregate-Level Variables for Both Unreliability and Correlated Errors: An Empirical Example." Social Science Research 27, no. 2 (Jun 1998): 218-34.</w:t>
      </w:r>
    </w:p>
  </w:endnote>
  <w:endnote w:id="2">
    <w:p w:rsidR="004C43BA" w:rsidRPr="00B022FE" w:rsidRDefault="004C43BA" w:rsidP="004C43BA">
      <w:pPr>
        <w:pStyle w:val="EndnoteText"/>
      </w:pPr>
      <w:r w:rsidRPr="005742B3">
        <w:rPr>
          <w:rStyle w:val="EndnoteReference"/>
        </w:rPr>
        <w:endnoteRef/>
      </w:r>
      <w:r w:rsidRPr="00B022FE">
        <w:t xml:space="preserve"> S</w:t>
      </w:r>
      <w:r w:rsidRPr="00B022FE">
        <w:rPr>
          <w:noProof/>
        </w:rPr>
        <w:t>ee pp.62-66 and the appendix to Gilens 2012 for details on this calculation and the comparability of the 387 survey questions with multiple meaures with the full set of 1,779 items.</w:t>
      </w:r>
    </w:p>
  </w:endnote>
  <w:endnote w:id="3">
    <w:p w:rsidR="004C43BA" w:rsidRPr="00B022FE" w:rsidRDefault="004C43BA" w:rsidP="004C43BA">
      <w:pPr>
        <w:pStyle w:val="EndnoteText"/>
      </w:pPr>
      <w:r w:rsidRPr="005742B3">
        <w:rPr>
          <w:rStyle w:val="EndnoteReference"/>
        </w:rPr>
        <w:endnoteRef/>
      </w:r>
      <w:r w:rsidRPr="00B022FE">
        <w:t xml:space="preserve"> For a discussion of diagnosing and correcting for correlated measurement error see </w:t>
      </w:r>
      <w:proofErr w:type="spellStart"/>
      <w:r w:rsidRPr="00B022FE">
        <w:t>Achen</w:t>
      </w:r>
      <w:proofErr w:type="spellEnd"/>
      <w:r w:rsidRPr="00B022FE">
        <w:t xml:space="preserve"> 1985 and </w:t>
      </w:r>
      <w:proofErr w:type="spellStart"/>
      <w:r w:rsidRPr="00B022FE">
        <w:t>Gilens</w:t>
      </w:r>
      <w:proofErr w:type="spellEnd"/>
      <w:r w:rsidRPr="00B022FE">
        <w:t xml:space="preserve"> 2012, pp.253-258.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3BA" w:rsidRDefault="004C43BA" w:rsidP="004C43BA">
      <w:r>
        <w:separator/>
      </w:r>
    </w:p>
  </w:footnote>
  <w:footnote w:type="continuationSeparator" w:id="0">
    <w:p w:rsidR="004C43BA" w:rsidRDefault="004C43BA" w:rsidP="004C4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3BA"/>
    <w:rsid w:val="004C43BA"/>
    <w:rsid w:val="008833D2"/>
    <w:rsid w:val="009F2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3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4C43BA"/>
  </w:style>
  <w:style w:type="character" w:customStyle="1" w:styleId="EndnoteTextChar">
    <w:name w:val="Endnote Text Char"/>
    <w:basedOn w:val="DefaultParagraphFont"/>
    <w:link w:val="EndnoteText"/>
    <w:rsid w:val="004C43BA"/>
    <w:rPr>
      <w:rFonts w:ascii="Times New Roman" w:eastAsia="Times New Roman" w:hAnsi="Times New Roman" w:cs="Times New Roman"/>
    </w:rPr>
  </w:style>
  <w:style w:type="character" w:styleId="EndnoteReference">
    <w:name w:val="endnote reference"/>
    <w:basedOn w:val="DefaultParagraphFont"/>
    <w:rsid w:val="004C43B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3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4C43BA"/>
  </w:style>
  <w:style w:type="character" w:customStyle="1" w:styleId="EndnoteTextChar">
    <w:name w:val="Endnote Text Char"/>
    <w:basedOn w:val="DefaultParagraphFont"/>
    <w:link w:val="EndnoteText"/>
    <w:rsid w:val="004C43BA"/>
    <w:rPr>
      <w:rFonts w:ascii="Times New Roman" w:eastAsia="Times New Roman" w:hAnsi="Times New Roman" w:cs="Times New Roman"/>
    </w:rPr>
  </w:style>
  <w:style w:type="character" w:styleId="EndnoteReference">
    <w:name w:val="endnote reference"/>
    <w:basedOn w:val="DefaultParagraphFont"/>
    <w:rsid w:val="004C43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894</Words>
  <Characters>5096</Characters>
  <Application>Microsoft Macintosh Word</Application>
  <DocSecurity>0</DocSecurity>
  <Lines>42</Lines>
  <Paragraphs>11</Paragraphs>
  <ScaleCrop>false</ScaleCrop>
  <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Moskowitz</dc:creator>
  <cp:keywords/>
  <dc:description/>
  <cp:lastModifiedBy>James Moskowitz</cp:lastModifiedBy>
  <cp:revision>2</cp:revision>
  <dcterms:created xsi:type="dcterms:W3CDTF">2014-09-11T13:44:00Z</dcterms:created>
  <dcterms:modified xsi:type="dcterms:W3CDTF">2014-09-11T13:44:00Z</dcterms:modified>
</cp:coreProperties>
</file>