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Hollywood Nails</w:t>
        <w:br/>
        <w:t>Database Design &amp; ER Model</w:t>
      </w:r>
    </w:p>
    <w:p>
      <w:pPr>
        <w:jc w:val="center"/>
      </w:pPr>
      <w:r>
        <w:rPr>
          <w:b/>
          <w:sz w:val="24"/>
        </w:rPr>
        <w:t>Business Analytics Portfolio - Phase 1</w:t>
      </w:r>
    </w:p>
    <w:p>
      <w:pPr>
        <w:jc w:val="center"/>
      </w:pPr>
      <w:r>
        <w:rPr>
          <w:i/>
        </w:rPr>
        <w:t>Prepared for Chen Chung Huang | Version 1.0</w:t>
      </w:r>
    </w:p>
    <w:p>
      <w:pPr>
        <w:pStyle w:val="Heading1"/>
      </w:pPr>
      <w:r>
        <w:t>1. Project Objective</w:t>
      </w:r>
    </w:p>
    <w:p>
      <w:r>
        <w:t>Design a normalized operational database that supports salon revenue, customer retention, appointment, workforce, purchasing, and inventory analytics. The model is intentionally structured for PostgreSQL and can later feed Excel, Power BI, and a GitHub portfolio.</w:t>
      </w:r>
    </w:p>
    <w:p>
      <w:pPr>
        <w:pStyle w:val="Heading1"/>
      </w:pPr>
      <w:r>
        <w:t>2. Design Assumptions</w:t>
      </w:r>
    </w:p>
    <w:p>
      <w:pPr>
        <w:pStyle w:val="ListBullet"/>
      </w:pPr>
      <w:r>
        <w:t>Approximately 10 customer visits per day, with room to scale to multiple technicians and locations.</w:t>
      </w:r>
    </w:p>
    <w:p>
      <w:pPr>
        <w:pStyle w:val="ListBullet"/>
      </w:pPr>
      <w:r>
        <w:t>One appointment may include multiple services, so appointment services are stored in a bridge table.</w:t>
      </w:r>
    </w:p>
    <w:p>
      <w:pPr>
        <w:pStyle w:val="ListBullet"/>
      </w:pPr>
      <w:r>
        <w:t>Each completed appointment may produce one transaction record.</w:t>
      </w:r>
    </w:p>
    <w:p>
      <w:pPr>
        <w:pStyle w:val="ListBullet"/>
      </w:pPr>
      <w:r>
        <w:t>Inventory is tracked through purchases, physical counts, and service-level product usage.</w:t>
      </w:r>
    </w:p>
    <w:p>
      <w:pPr>
        <w:pStyle w:val="ListBullet"/>
      </w:pPr>
      <w:r>
        <w:t>Customer-identifying fields should be anonymized before publishing portfolio datasets.</w:t>
      </w:r>
    </w:p>
    <w:p>
      <w:pPr>
        <w:pStyle w:val="Heading1"/>
      </w:pPr>
      <w:r>
        <w:t>3. Entity-Relationship Diagram</w:t>
      </w:r>
    </w:p>
    <w:p>
      <w:pPr>
        <w:jc w:val="center"/>
      </w:pPr>
      <w:r>
        <w:drawing>
          <wp:inline xmlns:a="http://schemas.openxmlformats.org/drawingml/2006/main" xmlns:pic="http://schemas.openxmlformats.org/drawingml/2006/picture">
            <wp:extent cx="6492240" cy="2774675"/>
            <wp:docPr id="1" name="Picture 1"/>
            <wp:cNvGraphicFramePr>
              <a:graphicFrameLocks noChangeAspect="1"/>
            </wp:cNvGraphicFramePr>
            <a:graphic>
              <a:graphicData uri="http://schemas.openxmlformats.org/drawingml/2006/picture">
                <pic:pic>
                  <pic:nvPicPr>
                    <pic:cNvPr id="0" name="Hollywood_Nails_ER_Diagram.png"/>
                    <pic:cNvPicPr/>
                  </pic:nvPicPr>
                  <pic:blipFill>
                    <a:blip r:embed="rId9"/>
                    <a:stretch>
                      <a:fillRect/>
                    </a:stretch>
                  </pic:blipFill>
                  <pic:spPr>
                    <a:xfrm>
                      <a:off x="0" y="0"/>
                      <a:ext cx="6492240" cy="2774675"/>
                    </a:xfrm>
                    <a:prstGeom prst="rect"/>
                  </pic:spPr>
                </pic:pic>
              </a:graphicData>
            </a:graphic>
          </wp:inline>
        </w:drawing>
      </w:r>
    </w:p>
    <w:p>
      <w:pPr>
        <w:pStyle w:val="Heading1"/>
      </w:pPr>
      <w:r>
        <w:t>4. Core Tables and Business Purpose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355C7D"/>
          </w:tcPr>
          <w:p>
            <w:r/>
            <w:r>
              <w:rPr>
                <w:b/>
                <w:color w:val="FFFFFF"/>
                <w:sz w:val="18"/>
              </w:rPr>
              <w:t>Table</w:t>
            </w:r>
          </w:p>
        </w:tc>
        <w:tc>
          <w:tcPr>
            <w:tcW w:type="dxa" w:w="3456"/>
            <w:vAlign w:val="center"/>
            <w:shd w:fill="355C7D"/>
          </w:tcPr>
          <w:p>
            <w:r/>
            <w:r>
              <w:rPr>
                <w:b/>
                <w:color w:val="FFFFFF"/>
                <w:sz w:val="18"/>
              </w:rPr>
              <w:t>Purpose</w:t>
            </w:r>
          </w:p>
        </w:tc>
        <w:tc>
          <w:tcPr>
            <w:tcW w:type="dxa" w:w="3456"/>
            <w:vAlign w:val="center"/>
            <w:shd w:fill="355C7D"/>
          </w:tcPr>
          <w:p>
            <w:r/>
            <w:r>
              <w:rPr>
                <w:b/>
                <w:color w:val="FFFFFF"/>
                <w:sz w:val="18"/>
              </w:rPr>
              <w:t>Primary Analytics</w:t>
            </w:r>
          </w:p>
        </w:tc>
      </w:tr>
      <w:tr>
        <w:tc>
          <w:tcPr>
            <w:tcW w:type="dxa" w:w="3456"/>
            <w:vAlign w:val="center"/>
          </w:tcPr>
          <w:p>
            <w:r/>
            <w:r>
              <w:rPr>
                <w:b w:val="0"/>
                <w:sz w:val="17"/>
              </w:rPr>
              <w:t>customers</w:t>
            </w:r>
          </w:p>
        </w:tc>
        <w:tc>
          <w:tcPr>
            <w:tcW w:type="dxa" w:w="3456"/>
            <w:vAlign w:val="center"/>
          </w:tcPr>
          <w:p>
            <w:r/>
            <w:r>
              <w:rPr>
                <w:b w:val="0"/>
                <w:sz w:val="17"/>
              </w:rPr>
              <w:t>Customer master data and lifecycle status.</w:t>
            </w:r>
          </w:p>
        </w:tc>
        <w:tc>
          <w:tcPr>
            <w:tcW w:type="dxa" w:w="3456"/>
            <w:vAlign w:val="center"/>
          </w:tcPr>
          <w:p>
            <w:r/>
            <w:r>
              <w:rPr>
                <w:b w:val="0"/>
                <w:sz w:val="17"/>
              </w:rPr>
              <w:t>Retention, visit frequency, lifetime value</w:t>
            </w:r>
          </w:p>
        </w:tc>
      </w:tr>
      <w:tr>
        <w:tc>
          <w:tcPr>
            <w:tcW w:type="dxa" w:w="3456"/>
            <w:vAlign w:val="center"/>
          </w:tcPr>
          <w:p>
            <w:r/>
            <w:r>
              <w:rPr>
                <w:b w:val="0"/>
                <w:sz w:val="17"/>
              </w:rPr>
              <w:t>employees</w:t>
            </w:r>
          </w:p>
        </w:tc>
        <w:tc>
          <w:tcPr>
            <w:tcW w:type="dxa" w:w="3456"/>
            <w:vAlign w:val="center"/>
          </w:tcPr>
          <w:p>
            <w:r/>
            <w:r>
              <w:rPr>
                <w:b w:val="0"/>
                <w:sz w:val="17"/>
              </w:rPr>
              <w:t>Staff and owner records.</w:t>
            </w:r>
          </w:p>
        </w:tc>
        <w:tc>
          <w:tcPr>
            <w:tcW w:type="dxa" w:w="3456"/>
            <w:vAlign w:val="center"/>
          </w:tcPr>
          <w:p>
            <w:r/>
            <w:r>
              <w:rPr>
                <w:b w:val="0"/>
                <w:sz w:val="17"/>
              </w:rPr>
              <w:t>Workload, productivity, staffing</w:t>
            </w:r>
          </w:p>
        </w:tc>
      </w:tr>
      <w:tr>
        <w:tc>
          <w:tcPr>
            <w:tcW w:type="dxa" w:w="3456"/>
            <w:vAlign w:val="center"/>
          </w:tcPr>
          <w:p>
            <w:r/>
            <w:r>
              <w:rPr>
                <w:b w:val="0"/>
                <w:sz w:val="17"/>
              </w:rPr>
              <w:t>services</w:t>
            </w:r>
          </w:p>
        </w:tc>
        <w:tc>
          <w:tcPr>
            <w:tcW w:type="dxa" w:w="3456"/>
            <w:vAlign w:val="center"/>
          </w:tcPr>
          <w:p>
            <w:r/>
            <w:r>
              <w:rPr>
                <w:b w:val="0"/>
                <w:sz w:val="17"/>
              </w:rPr>
              <w:t>Service catalog, prices, duration, and cost.</w:t>
            </w:r>
          </w:p>
        </w:tc>
        <w:tc>
          <w:tcPr>
            <w:tcW w:type="dxa" w:w="3456"/>
            <w:vAlign w:val="center"/>
          </w:tcPr>
          <w:p>
            <w:r/>
            <w:r>
              <w:rPr>
                <w:b w:val="0"/>
                <w:sz w:val="17"/>
              </w:rPr>
              <w:t>Service mix, margins, pricing</w:t>
            </w:r>
          </w:p>
        </w:tc>
      </w:tr>
      <w:tr>
        <w:tc>
          <w:tcPr>
            <w:tcW w:type="dxa" w:w="3456"/>
            <w:vAlign w:val="center"/>
          </w:tcPr>
          <w:p>
            <w:r/>
            <w:r>
              <w:rPr>
                <w:b w:val="0"/>
                <w:sz w:val="17"/>
              </w:rPr>
              <w:t>appointments</w:t>
            </w:r>
          </w:p>
        </w:tc>
        <w:tc>
          <w:tcPr>
            <w:tcW w:type="dxa" w:w="3456"/>
            <w:vAlign w:val="center"/>
          </w:tcPr>
          <w:p>
            <w:r/>
            <w:r>
              <w:rPr>
                <w:b w:val="0"/>
                <w:sz w:val="17"/>
              </w:rPr>
              <w:t>Scheduled customer visits and outcomes.</w:t>
            </w:r>
          </w:p>
        </w:tc>
        <w:tc>
          <w:tcPr>
            <w:tcW w:type="dxa" w:w="3456"/>
            <w:vAlign w:val="center"/>
          </w:tcPr>
          <w:p>
            <w:r/>
            <w:r>
              <w:rPr>
                <w:b w:val="0"/>
                <w:sz w:val="17"/>
              </w:rPr>
              <w:t>Demand, cancellations, peak hours</w:t>
            </w:r>
          </w:p>
        </w:tc>
      </w:tr>
      <w:tr>
        <w:tc>
          <w:tcPr>
            <w:tcW w:type="dxa" w:w="3456"/>
            <w:vAlign w:val="center"/>
          </w:tcPr>
          <w:p>
            <w:r/>
            <w:r>
              <w:rPr>
                <w:b w:val="0"/>
                <w:sz w:val="17"/>
              </w:rPr>
              <w:t>appointment_services</w:t>
            </w:r>
          </w:p>
        </w:tc>
        <w:tc>
          <w:tcPr>
            <w:tcW w:type="dxa" w:w="3456"/>
            <w:vAlign w:val="center"/>
          </w:tcPr>
          <w:p>
            <w:r/>
            <w:r>
              <w:rPr>
                <w:b w:val="0"/>
                <w:sz w:val="17"/>
              </w:rPr>
              <w:t>Services attached to each appointment.</w:t>
            </w:r>
          </w:p>
        </w:tc>
        <w:tc>
          <w:tcPr>
            <w:tcW w:type="dxa" w:w="3456"/>
            <w:vAlign w:val="center"/>
          </w:tcPr>
          <w:p>
            <w:r/>
            <w:r>
              <w:rPr>
                <w:b w:val="0"/>
                <w:sz w:val="17"/>
              </w:rPr>
              <w:t>Multi-service ticket analysis</w:t>
            </w:r>
          </w:p>
        </w:tc>
      </w:tr>
      <w:tr>
        <w:tc>
          <w:tcPr>
            <w:tcW w:type="dxa" w:w="3456"/>
            <w:vAlign w:val="center"/>
          </w:tcPr>
          <w:p>
            <w:r/>
            <w:r>
              <w:rPr>
                <w:b w:val="0"/>
                <w:sz w:val="17"/>
              </w:rPr>
              <w:t>transactions</w:t>
            </w:r>
          </w:p>
        </w:tc>
        <w:tc>
          <w:tcPr>
            <w:tcW w:type="dxa" w:w="3456"/>
            <w:vAlign w:val="center"/>
          </w:tcPr>
          <w:p>
            <w:r/>
            <w:r>
              <w:rPr>
                <w:b w:val="0"/>
                <w:sz w:val="17"/>
              </w:rPr>
              <w:t>Payment and revenue facts.</w:t>
            </w:r>
          </w:p>
        </w:tc>
        <w:tc>
          <w:tcPr>
            <w:tcW w:type="dxa" w:w="3456"/>
            <w:vAlign w:val="center"/>
          </w:tcPr>
          <w:p>
            <w:r/>
            <w:r>
              <w:rPr>
                <w:b w:val="0"/>
                <w:sz w:val="17"/>
              </w:rPr>
              <w:t>Revenue, tips, average ticket, payment mix</w:t>
            </w:r>
          </w:p>
        </w:tc>
      </w:tr>
      <w:tr>
        <w:tc>
          <w:tcPr>
            <w:tcW w:type="dxa" w:w="3456"/>
            <w:vAlign w:val="center"/>
          </w:tcPr>
          <w:p>
            <w:r/>
            <w:r>
              <w:rPr>
                <w:b w:val="0"/>
                <w:sz w:val="17"/>
              </w:rPr>
              <w:t>products</w:t>
            </w:r>
          </w:p>
        </w:tc>
        <w:tc>
          <w:tcPr>
            <w:tcW w:type="dxa" w:w="3456"/>
            <w:vAlign w:val="center"/>
          </w:tcPr>
          <w:p>
            <w:r/>
            <w:r>
              <w:rPr>
                <w:b w:val="0"/>
                <w:sz w:val="17"/>
              </w:rPr>
              <w:t>Inventory item master.</w:t>
            </w:r>
          </w:p>
        </w:tc>
        <w:tc>
          <w:tcPr>
            <w:tcW w:type="dxa" w:w="3456"/>
            <w:vAlign w:val="center"/>
          </w:tcPr>
          <w:p>
            <w:r/>
            <w:r>
              <w:rPr>
                <w:b w:val="0"/>
                <w:sz w:val="17"/>
              </w:rPr>
              <w:t>Stock levels and reorder alerts</w:t>
            </w:r>
          </w:p>
        </w:tc>
      </w:tr>
      <w:tr>
        <w:tc>
          <w:tcPr>
            <w:tcW w:type="dxa" w:w="3456"/>
            <w:vAlign w:val="center"/>
          </w:tcPr>
          <w:p>
            <w:r/>
            <w:r>
              <w:rPr>
                <w:b w:val="0"/>
                <w:sz w:val="17"/>
              </w:rPr>
              <w:t>vendors</w:t>
            </w:r>
          </w:p>
        </w:tc>
        <w:tc>
          <w:tcPr>
            <w:tcW w:type="dxa" w:w="3456"/>
            <w:vAlign w:val="center"/>
          </w:tcPr>
          <w:p>
            <w:r/>
            <w:r>
              <w:rPr>
                <w:b w:val="0"/>
                <w:sz w:val="17"/>
              </w:rPr>
              <w:t>Supplier master data.</w:t>
            </w:r>
          </w:p>
        </w:tc>
        <w:tc>
          <w:tcPr>
            <w:tcW w:type="dxa" w:w="3456"/>
            <w:vAlign w:val="center"/>
          </w:tcPr>
          <w:p>
            <w:r/>
            <w:r>
              <w:rPr>
                <w:b w:val="0"/>
                <w:sz w:val="17"/>
              </w:rPr>
              <w:t>Vendor concentration and sourcing</w:t>
            </w:r>
          </w:p>
        </w:tc>
      </w:tr>
      <w:tr>
        <w:tc>
          <w:tcPr>
            <w:tcW w:type="dxa" w:w="3456"/>
            <w:vAlign w:val="center"/>
          </w:tcPr>
          <w:p>
            <w:r/>
            <w:r>
              <w:rPr>
                <w:b w:val="0"/>
                <w:sz w:val="17"/>
              </w:rPr>
              <w:t>purchase_orders</w:t>
            </w:r>
          </w:p>
        </w:tc>
        <w:tc>
          <w:tcPr>
            <w:tcW w:type="dxa" w:w="3456"/>
            <w:vAlign w:val="center"/>
          </w:tcPr>
          <w:p>
            <w:r/>
            <w:r>
              <w:rPr>
                <w:b w:val="0"/>
                <w:sz w:val="17"/>
              </w:rPr>
              <w:t>Inventory orders and receiving status.</w:t>
            </w:r>
          </w:p>
        </w:tc>
        <w:tc>
          <w:tcPr>
            <w:tcW w:type="dxa" w:w="3456"/>
            <w:vAlign w:val="center"/>
          </w:tcPr>
          <w:p>
            <w:r/>
            <w:r>
              <w:rPr>
                <w:b w:val="0"/>
                <w:sz w:val="17"/>
              </w:rPr>
              <w:t>Purchasing cadence and spend</w:t>
            </w:r>
          </w:p>
        </w:tc>
      </w:tr>
      <w:tr>
        <w:tc>
          <w:tcPr>
            <w:tcW w:type="dxa" w:w="3456"/>
            <w:vAlign w:val="center"/>
          </w:tcPr>
          <w:p>
            <w:r/>
            <w:r>
              <w:rPr>
                <w:b w:val="0"/>
                <w:sz w:val="17"/>
              </w:rPr>
              <w:t>purchase_order_items</w:t>
            </w:r>
          </w:p>
        </w:tc>
        <w:tc>
          <w:tcPr>
            <w:tcW w:type="dxa" w:w="3456"/>
            <w:vAlign w:val="center"/>
          </w:tcPr>
          <w:p>
            <w:r/>
            <w:r>
              <w:rPr>
                <w:b w:val="0"/>
                <w:sz w:val="17"/>
              </w:rPr>
              <w:t>Products and quantities on each order.</w:t>
            </w:r>
          </w:p>
        </w:tc>
        <w:tc>
          <w:tcPr>
            <w:tcW w:type="dxa" w:w="3456"/>
            <w:vAlign w:val="center"/>
          </w:tcPr>
          <w:p>
            <w:r/>
            <w:r>
              <w:rPr>
                <w:b w:val="0"/>
                <w:sz w:val="17"/>
              </w:rPr>
              <w:t>Unit cost and purchase volume</w:t>
            </w:r>
          </w:p>
        </w:tc>
      </w:tr>
      <w:tr>
        <w:tc>
          <w:tcPr>
            <w:tcW w:type="dxa" w:w="3456"/>
            <w:vAlign w:val="center"/>
          </w:tcPr>
          <w:p>
            <w:r/>
            <w:r>
              <w:rPr>
                <w:b w:val="0"/>
                <w:sz w:val="17"/>
              </w:rPr>
              <w:t>inventory_counts</w:t>
            </w:r>
          </w:p>
        </w:tc>
        <w:tc>
          <w:tcPr>
            <w:tcW w:type="dxa" w:w="3456"/>
            <w:vAlign w:val="center"/>
          </w:tcPr>
          <w:p>
            <w:r/>
            <w:r>
              <w:rPr>
                <w:b w:val="0"/>
                <w:sz w:val="17"/>
              </w:rPr>
              <w:t>Monthly physical inventory snapshots.</w:t>
            </w:r>
          </w:p>
        </w:tc>
        <w:tc>
          <w:tcPr>
            <w:tcW w:type="dxa" w:w="3456"/>
            <w:vAlign w:val="center"/>
          </w:tcPr>
          <w:p>
            <w:r/>
            <w:r>
              <w:rPr>
                <w:b w:val="0"/>
                <w:sz w:val="17"/>
              </w:rPr>
              <w:t>Shrinkage, variance, accuracy</w:t>
            </w:r>
          </w:p>
        </w:tc>
      </w:tr>
      <w:tr>
        <w:tc>
          <w:tcPr>
            <w:tcW w:type="dxa" w:w="3456"/>
            <w:vAlign w:val="center"/>
          </w:tcPr>
          <w:p>
            <w:r/>
            <w:r>
              <w:rPr>
                <w:b w:val="0"/>
                <w:sz w:val="17"/>
              </w:rPr>
              <w:t>inventory_usage</w:t>
            </w:r>
          </w:p>
        </w:tc>
        <w:tc>
          <w:tcPr>
            <w:tcW w:type="dxa" w:w="3456"/>
            <w:vAlign w:val="center"/>
          </w:tcPr>
          <w:p>
            <w:r/>
            <w:r>
              <w:rPr>
                <w:b w:val="0"/>
                <w:sz w:val="17"/>
              </w:rPr>
              <w:t>Product consumption by service.</w:t>
            </w:r>
          </w:p>
        </w:tc>
        <w:tc>
          <w:tcPr>
            <w:tcW w:type="dxa" w:w="3456"/>
            <w:vAlign w:val="center"/>
          </w:tcPr>
          <w:p>
            <w:r/>
            <w:r>
              <w:rPr>
                <w:b w:val="0"/>
                <w:sz w:val="17"/>
              </w:rPr>
              <w:t>True service cost and inventory forecasting</w:t>
            </w:r>
          </w:p>
        </w:tc>
      </w:tr>
    </w:tbl>
    <w:p>
      <w:pPr>
        <w:pStyle w:val="Heading1"/>
      </w:pPr>
      <w:r>
        <w:t>5. Key Relationships</w:t>
      </w:r>
    </w:p>
    <w:p>
      <w:pPr>
        <w:pStyle w:val="ListBullet"/>
      </w:pPr>
      <w:r>
        <w:t>Customer 1-to-many Appointments</w:t>
      </w:r>
    </w:p>
    <w:p>
      <w:pPr>
        <w:pStyle w:val="ListBullet"/>
      </w:pPr>
      <w:r>
        <w:t>Employee 1-to-many Appointments</w:t>
      </w:r>
    </w:p>
    <w:p>
      <w:pPr>
        <w:pStyle w:val="ListBullet"/>
      </w:pPr>
      <w:r>
        <w:t>Appointment 1-to-many Appointment Services</w:t>
      </w:r>
    </w:p>
    <w:p>
      <w:pPr>
        <w:pStyle w:val="ListBullet"/>
      </w:pPr>
      <w:r>
        <w:t>Service 1-to-many Appointment Services</w:t>
      </w:r>
    </w:p>
    <w:p>
      <w:pPr>
        <w:pStyle w:val="ListBullet"/>
      </w:pPr>
      <w:r>
        <w:t>Appointment 1-to-zero-or-one Transaction</w:t>
      </w:r>
    </w:p>
    <w:p>
      <w:pPr>
        <w:pStyle w:val="ListBullet"/>
      </w:pPr>
      <w:r>
        <w:t>Vendor 1-to-many Purchase Orders</w:t>
      </w:r>
    </w:p>
    <w:p>
      <w:pPr>
        <w:pStyle w:val="ListBullet"/>
      </w:pPr>
      <w:r>
        <w:t>Purchase Order 1-to-many Purchase Order Items</w:t>
      </w:r>
    </w:p>
    <w:p>
      <w:pPr>
        <w:pStyle w:val="ListBullet"/>
      </w:pPr>
      <w:r>
        <w:t>Product 1-to-many Purchase Order Items and Inventory Counts</w:t>
      </w:r>
    </w:p>
    <w:p>
      <w:pPr>
        <w:pStyle w:val="ListBullet"/>
      </w:pPr>
      <w:r>
        <w:t>Appointment Service many-to-many Product through Inventory Usage</w:t>
      </w:r>
    </w:p>
    <w:p>
      <w:pPr>
        <w:pStyle w:val="Heading1"/>
      </w:pPr>
      <w:r>
        <w:t>6. Analytics Questions Enabled</w:t>
      </w:r>
    </w:p>
    <w:p>
      <w:pPr>
        <w:pStyle w:val="ListBullet"/>
      </w:pPr>
      <w:r>
        <w:t>What are monthly revenue, average ticket, tips, and payment mix?</w:t>
      </w:r>
    </w:p>
    <w:p>
      <w:pPr>
        <w:pStyle w:val="ListBullet"/>
      </w:pPr>
      <w:r>
        <w:t>Which services produce the highest revenue and estimated gross margin?</w:t>
      </w:r>
    </w:p>
    <w:p>
      <w:pPr>
        <w:pStyle w:val="ListBullet"/>
      </w:pPr>
      <w:r>
        <w:t>What are the repeat-visit rate, rebooking interval, and customer lifetime value?</w:t>
      </w:r>
    </w:p>
    <w:p>
      <w:pPr>
        <w:pStyle w:val="ListBullet"/>
      </w:pPr>
      <w:r>
        <w:t>Which weekdays and appointment hours have the highest demand?</w:t>
      </w:r>
    </w:p>
    <w:p>
      <w:pPr>
        <w:pStyle w:val="ListBullet"/>
      </w:pPr>
      <w:r>
        <w:t>What are cancellation and no-show rates by booking source?</w:t>
      </w:r>
    </w:p>
    <w:p>
      <w:pPr>
        <w:pStyle w:val="ListBullet"/>
      </w:pPr>
      <w:r>
        <w:t>Which products are below reorder level, and where do physical counts differ from system quantity?</w:t>
      </w:r>
    </w:p>
    <w:p>
      <w:pPr>
        <w:pStyle w:val="ListBullet"/>
      </w:pPr>
      <w:r>
        <w:t>How frequently are orders placed, and which vendors account for the most spend?</w:t>
      </w:r>
    </w:p>
    <w:p>
      <w:pPr>
        <w:pStyle w:val="Heading1"/>
      </w:pPr>
      <w:r>
        <w:t>7. Data Governance and Portfolio Use</w:t>
      </w:r>
    </w:p>
    <w:p>
      <w:r>
        <w:t>For public portfolio use, names, telephone numbers, email addresses, and other personally identifiable information must be replaced with synthetic values. Business totals may also be scaled or simulated. The portfolio must clearly state which data is real, anonymized, or synthetic.</w:t>
      </w:r>
    </w:p>
    <w:p>
      <w:pPr>
        <w:pStyle w:val="Heading1"/>
      </w:pPr>
      <w:r>
        <w:t>8. Deliverables</w:t>
      </w:r>
    </w:p>
    <w:p>
      <w:pPr>
        <w:pStyle w:val="ListBullet"/>
      </w:pPr>
      <w:r>
        <w:t>Hollywood_Nails_Database_Design.docx - database specification and ER model</w:t>
      </w:r>
    </w:p>
    <w:p>
      <w:pPr>
        <w:pStyle w:val="ListBullet"/>
      </w:pPr>
      <w:r>
        <w:t>Hollywood_Nails_PostgreSQL_Schema.sql - executable PostgreSQL DDL</w:t>
      </w:r>
    </w:p>
    <w:p>
      <w:pPr>
        <w:pStyle w:val="ListBullet"/>
      </w:pPr>
      <w:r>
        <w:t>Hollywood_Nails_ER_Diagram.png - visual relationship diagram</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3435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